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522A01" w:rsidRDefault="00522A01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22A01">
        <w:rPr>
          <w:rFonts w:ascii="Times New Roman" w:hAnsi="Times New Roman"/>
          <w:sz w:val="28"/>
          <w:szCs w:val="28"/>
          <w:u w:val="single"/>
        </w:rPr>
        <w:t>26.02.2021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522A01">
        <w:rPr>
          <w:rFonts w:ascii="Times New Roman" w:hAnsi="Times New Roman"/>
          <w:sz w:val="28"/>
          <w:szCs w:val="28"/>
          <w:u w:val="single"/>
        </w:rPr>
        <w:t>01-291/01</w:t>
      </w:r>
    </w:p>
    <w:p w:rsidR="002138E3" w:rsidRPr="0019255D" w:rsidRDefault="00603433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03433">
        <w:rPr>
          <w:rFonts w:ascii="Times New Roman" w:hAnsi="Times New Roman"/>
          <w:sz w:val="28"/>
          <w:szCs w:val="28"/>
        </w:rPr>
        <w:t>061/170-121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812"/>
      </w:tblGrid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483774" w:rsidRPr="00810056" w:rsidRDefault="005172A9" w:rsidP="0026464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33600000-6 Фармацевтична продукція (Лікарські засоби) </w:t>
            </w:r>
            <w:proofErr w:type="spellStart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Pharmaceutical</w:t>
            </w:r>
            <w:proofErr w:type="spellEnd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products</w:t>
            </w:r>
            <w:proofErr w:type="spellEnd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Medicines</w:t>
            </w:r>
            <w:proofErr w:type="spellEnd"/>
            <w:r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 </w:t>
            </w:r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ЛОТ 1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цитарабін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cytarabine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цитарабін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cytarabine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гепарин натрій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heparin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меропенем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meropenem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апрепітант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aprepitantum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кислота метил кремнієва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methylsilicicum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вітамін к1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phytomenadionum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мозаприд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mosapridum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карбоплатин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carboplatinum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вінкристин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vincristine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етопозид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etoposide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цисплатин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cisplatinum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ломустин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lomustinum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ципрофлоксацин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ciprofloxacin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ципрофлоксацин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ciprofloxacin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пантопразол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pantoprazolum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парацетамол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paracetamol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аскорбінова кислота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ascorbicum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алопуринол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allopurinol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месна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mesnum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дексаметазон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dexamethasone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тігециклін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tigecycline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кліндаміцин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clindamycinum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метилпреднізолон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methylprednisolonum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метилпреднізолон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methylprednisolonum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метилпреднізолон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methylprednisolonum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метилпреднізолон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methylprednisolonum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валацикловір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valacyclovirum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ацикловір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aciclovir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).,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флуконазол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fluconazole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).,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fluconazole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флуконазол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Ванкоміцин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Vancomycin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Лінезолід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Linezolid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Лінезолід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Linezolid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). ЛОТ 2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венетоклакс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venetoclaxum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вінорелбін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vinorelbine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гемцитабін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gemcitabine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гемцитабін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gemcitabine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іміпенем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/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циластатин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каспофунгін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саspofunginum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леналидомид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lenalidomidum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леналидомид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lenalidomidum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леналидомид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lenalidomidum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доксорубіцин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doxorubicinum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доксорубіцин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doxorubicinum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мелфалан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melphalan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ондансетрон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ondansetron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ритуксимаб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rituximab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ритуксимаб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rituximab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цефепім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cefepime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); ЛОТ 3 Імуноглобулін людини нормальний рідкий для внутрішньовенного введення,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Immunoglobulins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normal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human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for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intravascular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adm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.), Імуноглобулін людини нормальний рідкий для внутрішньовенного введення,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Immunoglobulins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normal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human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for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intravascular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adm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.), Альбумін, розчин 20% по 100 мл у флаконах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Albumin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Альбумін, розчин 25% по 50 мл у флаконах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Albumin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Білки плазми крові людини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human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plasma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proteins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); ЛОТ 4 Магнію сульфат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Magnesium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sulfate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).,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Еноксапарин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Enoxaparin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Лідокаїн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Lidocaine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Парацетамол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Paracetamol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).,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Метоклопрамід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Metoclopramide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Преднізолон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Prednisolone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Атропін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Atropine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Кальцію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глюконат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Calcium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gluconate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Маніт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Mannitol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Омепразол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Omeprazole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Неостигмін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lastRenderedPageBreak/>
              <w:t>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Neostigmine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Транексамова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кислота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Tranexamic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Дифенгидрамин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Diphenhydramine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Фуросемід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Furosemide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); ЛОТ 5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адеметіонін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ademetioninum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адеметіонін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ademetioninum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етилендіамінова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сіль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тіоктової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кислоти, що відповідає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тіоктовій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кислоті кислота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тиоктовая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thiocticum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 600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thiocticum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600), кислота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тіоктова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thiocticum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етамзилпат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etamzylate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йогурт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yogurt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урсодезоксихолева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кислота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acidum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ursodeoxycholicum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препарати вітаміну в1 у комбінації з вітаміном в6 та/або вітаміном в12.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Vitamin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B1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combination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with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vitamin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B6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and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/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or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vitamin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B12),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офлоксацин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ofloxacin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панкреатин(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pancreatinum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пантoпразол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pantoprazole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пантoпразол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pantoprazole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спіронолактон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spironolactone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суміш олій рафінованих оливкової (80%) і соєвої (20%), l-аланін, l-аргінін, гліцин, l-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гістидин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, l-ізолейцин, l-лейцин, l-лізин, l-метіонін, l-фенілаланін, l-пролін, l-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серин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, l-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треонін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l-триптофан, l-тирозин, l-валін, натрію ацетату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тригідрат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натрію гліцерофосфату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пентагідрат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калію хлорид, магнію хлориду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гексагідрат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глюкоза безводна, кальцію хлориду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дигідрат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торасемід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torasemidum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хлоргексидин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chlorhexidine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циклофосфамід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cyclophosphamide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),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циклофосфамід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cyclophosphamide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); ЛОТ 6 Натрію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Натрію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Натрію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Натрію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),Натрію хлориду(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),Калію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Potassium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),Калію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Potassium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)., Вода для ін’єкцій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Aqua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pro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injectionibus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/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Water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for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injection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Глюкоза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Glucose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 Глюкоза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Glucose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),Глюкоза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Glucose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),Натрію гідрокарбонат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hydrogen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carbonate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),Натрію хлорид (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Sodium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chloride</w:t>
            </w:r>
            <w:proofErr w:type="spellEnd"/>
            <w:r w:rsidR="0026464E" w:rsidRPr="00810056">
              <w:rPr>
                <w:rFonts w:ascii="Times New Roman" w:eastAsia="Times New Roman" w:hAnsi="Times New Roman"/>
                <w:bCs/>
                <w:color w:val="333333"/>
                <w:kern w:val="36"/>
                <w:sz w:val="21"/>
                <w:szCs w:val="21"/>
                <w:lang w:eastAsia="uk-UA"/>
              </w:rPr>
              <w:t>)</w:t>
            </w:r>
          </w:p>
        </w:tc>
      </w:tr>
      <w:tr w:rsidR="00C7130D" w:rsidRPr="00816A29" w:rsidTr="0026464E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  <w:r w:rsidR="005172A9">
              <w:rPr>
                <w:rFonts w:ascii="Times New Roman" w:hAnsi="Times New Roman"/>
                <w:sz w:val="24"/>
                <w:szCs w:val="24"/>
              </w:rPr>
              <w:t xml:space="preserve"> з публікацією англійською мовою</w:t>
            </w:r>
          </w:p>
        </w:tc>
      </w:tr>
      <w:tr w:rsidR="00C7130D" w:rsidRPr="00816A29" w:rsidTr="0026464E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483774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48377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UA-2021-02-25-002202-a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483774" w:rsidRDefault="00C7130D" w:rsidP="00483774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з</w:t>
            </w:r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абезпечення безперервності медичного процесу та на основі доповідних записок </w:t>
            </w:r>
            <w:proofErr w:type="spellStart"/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Костюкової</w:t>
            </w:r>
            <w:proofErr w:type="spellEnd"/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Н.І.</w:t>
            </w:r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Коренькової</w:t>
            </w:r>
            <w:proofErr w:type="spellEnd"/>
            <w:r w:rsid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С.С.</w:t>
            </w:r>
          </w:p>
        </w:tc>
      </w:tr>
      <w:tr w:rsidR="00C7130D" w:rsidRPr="00816A29" w:rsidTr="0026464E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26464E">
        <w:trPr>
          <w:trHeight w:val="672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483774" w:rsidP="0048377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15541000,00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  <w:r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6464E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812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</w:t>
            </w:r>
            <w:r w:rsidR="00483774" w:rsidRPr="00483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відповідно до реєстру оптово-відпускних цін.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37510"/>
    <w:rsid w:val="0019255D"/>
    <w:rsid w:val="002138E3"/>
    <w:rsid w:val="002354EC"/>
    <w:rsid w:val="00237388"/>
    <w:rsid w:val="0026464E"/>
    <w:rsid w:val="00283CF3"/>
    <w:rsid w:val="00414766"/>
    <w:rsid w:val="00483774"/>
    <w:rsid w:val="005172A9"/>
    <w:rsid w:val="00522A01"/>
    <w:rsid w:val="00603433"/>
    <w:rsid w:val="00606981"/>
    <w:rsid w:val="007A2838"/>
    <w:rsid w:val="00810056"/>
    <w:rsid w:val="008839FD"/>
    <w:rsid w:val="008A69D7"/>
    <w:rsid w:val="00B2222A"/>
    <w:rsid w:val="00C7130D"/>
    <w:rsid w:val="00D43544"/>
    <w:rsid w:val="00D85BE7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2021-03-01T13:23:00Z</dcterms:created>
  <dcterms:modified xsi:type="dcterms:W3CDTF">2021-03-01T13:23:00Z</dcterms:modified>
</cp:coreProperties>
</file>