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D3" w:rsidRDefault="0080286F" w:rsidP="00352A71">
      <w:pPr>
        <w:pStyle w:val="a9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80286F">
        <w:rPr>
          <w:rFonts w:eastAsia="MS Mincho"/>
          <w:b/>
          <w:bCs/>
          <w:sz w:val="28"/>
          <w:szCs w:val="28"/>
        </w:rPr>
        <w:t xml:space="preserve">33190000-8 Медичне обладнання та вироби медичного призначення різні (Система нагляду за станом пацієнта  (38470 Монітор системи моніторингу стану пацієнта центральний) - 1 </w:t>
      </w:r>
      <w:proofErr w:type="spellStart"/>
      <w:r w:rsidRPr="0080286F">
        <w:rPr>
          <w:rFonts w:eastAsia="MS Mincho"/>
          <w:b/>
          <w:bCs/>
          <w:sz w:val="28"/>
          <w:szCs w:val="28"/>
        </w:rPr>
        <w:t>компл</w:t>
      </w:r>
      <w:proofErr w:type="spellEnd"/>
      <w:r w:rsidRPr="0080286F">
        <w:rPr>
          <w:rFonts w:eastAsia="MS Mincho"/>
          <w:b/>
          <w:bCs/>
          <w:sz w:val="28"/>
          <w:szCs w:val="28"/>
        </w:rPr>
        <w:t>.).</w:t>
      </w:r>
    </w:p>
    <w:p w:rsidR="0080286F" w:rsidRPr="001A02B9" w:rsidRDefault="0080286F" w:rsidP="00352A71">
      <w:pPr>
        <w:pStyle w:val="a9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D954D3" w:rsidRPr="0084562C" w:rsidRDefault="00D954D3" w:rsidP="00D954D3">
      <w:pPr>
        <w:jc w:val="both"/>
        <w:rPr>
          <w:sz w:val="24"/>
          <w:szCs w:val="24"/>
        </w:rPr>
      </w:pPr>
    </w:p>
    <w:p w:rsidR="00EF1C1E" w:rsidRPr="00EF1C1E" w:rsidRDefault="00EF1C1E" w:rsidP="00EF1C1E">
      <w:pPr>
        <w:tabs>
          <w:tab w:val="left" w:pos="720"/>
        </w:tabs>
        <w:autoSpaceDE/>
        <w:autoSpaceDN/>
        <w:ind w:right="15" w:firstLine="720"/>
        <w:rPr>
          <w:rFonts w:eastAsia="MS Mincho"/>
          <w:bCs/>
          <w:iCs/>
          <w:sz w:val="24"/>
          <w:szCs w:val="24"/>
          <w:lang w:eastAsia="en-US"/>
        </w:rPr>
      </w:pPr>
      <w:bookmarkStart w:id="0" w:name="_Hlk114050956"/>
      <w:r w:rsidRPr="00EF1C1E">
        <w:rPr>
          <w:rFonts w:eastAsia="MS Mincho"/>
          <w:bCs/>
          <w:iCs/>
          <w:sz w:val="24"/>
          <w:szCs w:val="24"/>
          <w:lang w:eastAsia="en-US"/>
        </w:rPr>
        <w:t xml:space="preserve">Система нагляду за станом пацієнта  (38470 Монітор системи моніторингу стану пацієнта центральний) - 1 </w:t>
      </w:r>
      <w:proofErr w:type="spellStart"/>
      <w:r w:rsidRPr="00EF1C1E">
        <w:rPr>
          <w:rFonts w:eastAsia="MS Mincho"/>
          <w:bCs/>
          <w:iCs/>
          <w:sz w:val="24"/>
          <w:szCs w:val="24"/>
          <w:lang w:eastAsia="en-US"/>
        </w:rPr>
        <w:t>компл</w:t>
      </w:r>
      <w:proofErr w:type="spellEnd"/>
      <w:r w:rsidRPr="00EF1C1E">
        <w:rPr>
          <w:rFonts w:eastAsia="MS Mincho"/>
          <w:bCs/>
          <w:iCs/>
          <w:sz w:val="24"/>
          <w:szCs w:val="24"/>
          <w:lang w:eastAsia="en-US"/>
        </w:rPr>
        <w:t>.</w:t>
      </w:r>
    </w:p>
    <w:p w:rsidR="00EF1C1E" w:rsidRPr="00EF1C1E" w:rsidRDefault="00EF1C1E" w:rsidP="00EF1C1E">
      <w:pPr>
        <w:tabs>
          <w:tab w:val="left" w:pos="720"/>
        </w:tabs>
        <w:autoSpaceDE/>
        <w:autoSpaceDN/>
        <w:ind w:right="15" w:firstLine="720"/>
        <w:jc w:val="both"/>
        <w:rPr>
          <w:rFonts w:eastAsia="Calibri"/>
          <w:color w:val="000000"/>
          <w:sz w:val="24"/>
          <w:szCs w:val="24"/>
        </w:rPr>
      </w:pPr>
      <w:r w:rsidRPr="00EF1C1E">
        <w:rPr>
          <w:rFonts w:eastAsia="Calibri"/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7017"/>
        <w:gridCol w:w="1697"/>
      </w:tblGrid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F1C1E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F1C1E">
              <w:rPr>
                <w:b/>
                <w:sz w:val="24"/>
                <w:szCs w:val="24"/>
              </w:rPr>
              <w:t>Технічна вимога замовника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EF1C1E">
              <w:rPr>
                <w:rFonts w:eastAsia="Calibri"/>
                <w:b/>
                <w:sz w:val="24"/>
                <w:szCs w:val="24"/>
                <w:lang w:eastAsia="en-US"/>
              </w:rPr>
              <w:t>Відповідність</w:t>
            </w:r>
          </w:p>
          <w:p w:rsidR="00EF1C1E" w:rsidRPr="00EF1C1E" w:rsidRDefault="00EF1C1E" w:rsidP="00EF1C1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F1C1E">
              <w:rPr>
                <w:rFonts w:eastAsia="Calibri"/>
                <w:b/>
                <w:sz w:val="24"/>
                <w:szCs w:val="24"/>
                <w:lang w:val="en-US" w:eastAsia="en-US"/>
              </w:rPr>
              <w:t>(</w:t>
            </w:r>
            <w:proofErr w:type="spellStart"/>
            <w:r w:rsidRPr="00EF1C1E">
              <w:rPr>
                <w:rFonts w:eastAsia="Calibri"/>
                <w:b/>
                <w:sz w:val="24"/>
                <w:szCs w:val="24"/>
                <w:lang w:val="en-US" w:eastAsia="en-US"/>
              </w:rPr>
              <w:t>так</w:t>
            </w:r>
            <w:proofErr w:type="spellEnd"/>
            <w:r w:rsidRPr="00EF1C1E">
              <w:rPr>
                <w:rFonts w:eastAsia="Calibri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EF1C1E">
              <w:rPr>
                <w:rFonts w:eastAsia="Calibri"/>
                <w:b/>
                <w:sz w:val="24"/>
                <w:szCs w:val="24"/>
                <w:lang w:val="en-US" w:eastAsia="en-US"/>
              </w:rPr>
              <w:t>ні</w:t>
            </w:r>
            <w:proofErr w:type="spellEnd"/>
            <w:r w:rsidRPr="00EF1C1E">
              <w:rPr>
                <w:rFonts w:eastAsia="Calibri"/>
                <w:b/>
                <w:sz w:val="24"/>
                <w:szCs w:val="24"/>
                <w:lang w:val="en-US" w:eastAsia="en-US"/>
              </w:rPr>
              <w:t>)</w:t>
            </w: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EF1C1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tabs>
                <w:tab w:val="num" w:pos="720"/>
                <w:tab w:val="left" w:pos="900"/>
              </w:tabs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  <w:r w:rsidRPr="00EF1C1E">
              <w:rPr>
                <w:b/>
                <w:color w:val="000000"/>
                <w:sz w:val="24"/>
                <w:szCs w:val="24"/>
              </w:rPr>
              <w:t>Комплектація: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tabs>
                <w:tab w:val="num" w:pos="720"/>
                <w:tab w:val="left" w:pos="900"/>
              </w:tabs>
              <w:autoSpaceDE/>
              <w:autoSpaceDN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EF1C1E">
              <w:rPr>
                <w:sz w:val="24"/>
                <w:szCs w:val="24"/>
              </w:rPr>
              <w:t>1</w:t>
            </w:r>
            <w:r w:rsidRPr="00EF1C1E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7973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 xml:space="preserve">Основний блок монітору </w:t>
            </w:r>
            <w:r w:rsidRPr="00EF1C1E">
              <w:rPr>
                <w:sz w:val="24"/>
                <w:szCs w:val="24"/>
                <w:lang w:eastAsia="uk-UA"/>
              </w:rPr>
              <w:t>нагляду за життєво-важливими параметрами пацієнта</w:t>
            </w:r>
            <w:r w:rsidRPr="00EF1C1E">
              <w:rPr>
                <w:sz w:val="24"/>
                <w:szCs w:val="24"/>
              </w:rPr>
              <w:t xml:space="preserve"> - 1 шт.</w:t>
            </w:r>
          </w:p>
        </w:tc>
        <w:tc>
          <w:tcPr>
            <w:tcW w:w="740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1.2</w:t>
            </w:r>
          </w:p>
        </w:tc>
        <w:tc>
          <w:tcPr>
            <w:tcW w:w="7973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Візок </w:t>
            </w:r>
            <w:r w:rsidRPr="00EF1C1E">
              <w:rPr>
                <w:sz w:val="24"/>
                <w:szCs w:val="24"/>
              </w:rPr>
              <w:t xml:space="preserve"> - 1 шт.</w:t>
            </w:r>
          </w:p>
        </w:tc>
        <w:tc>
          <w:tcPr>
            <w:tcW w:w="740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1.3</w:t>
            </w:r>
          </w:p>
        </w:tc>
        <w:tc>
          <w:tcPr>
            <w:tcW w:w="7973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Безпровідний датчик ЕКГ</w:t>
            </w:r>
            <w:r w:rsidRPr="00EF1C1E">
              <w:rPr>
                <w:sz w:val="24"/>
                <w:szCs w:val="24"/>
                <w:lang w:val="en-US"/>
              </w:rPr>
              <w:t xml:space="preserve"> </w:t>
            </w:r>
            <w:r w:rsidRPr="00EF1C1E">
              <w:rPr>
                <w:sz w:val="24"/>
                <w:szCs w:val="24"/>
              </w:rPr>
              <w:t>-</w:t>
            </w:r>
            <w:r w:rsidRPr="00EF1C1E">
              <w:rPr>
                <w:color w:val="000000"/>
                <w:sz w:val="24"/>
                <w:szCs w:val="24"/>
              </w:rPr>
              <w:t xml:space="preserve"> </w:t>
            </w:r>
            <w:r w:rsidRPr="00EF1C1E">
              <w:rPr>
                <w:sz w:val="24"/>
                <w:szCs w:val="24"/>
              </w:rPr>
              <w:t xml:space="preserve"> 1 шт.</w:t>
            </w:r>
          </w:p>
        </w:tc>
        <w:tc>
          <w:tcPr>
            <w:tcW w:w="740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1.4</w:t>
            </w:r>
          </w:p>
        </w:tc>
        <w:tc>
          <w:tcPr>
            <w:tcW w:w="7973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 xml:space="preserve">Безпровідний датчик </w:t>
            </w:r>
            <w:r w:rsidRPr="00EF1C1E">
              <w:rPr>
                <w:sz w:val="24"/>
                <w:szCs w:val="24"/>
                <w:lang w:val="en-US"/>
              </w:rPr>
              <w:t>SpO2</w:t>
            </w:r>
            <w:r w:rsidRPr="00EF1C1E">
              <w:rPr>
                <w:color w:val="000000"/>
                <w:sz w:val="24"/>
                <w:szCs w:val="24"/>
              </w:rPr>
              <w:t xml:space="preserve"> - 2 шт.</w:t>
            </w:r>
          </w:p>
        </w:tc>
        <w:tc>
          <w:tcPr>
            <w:tcW w:w="740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1.5</w:t>
            </w:r>
          </w:p>
        </w:tc>
        <w:tc>
          <w:tcPr>
            <w:tcW w:w="7973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>Манжети виміру НІАТ різних розмірів - 3 шт.</w:t>
            </w:r>
          </w:p>
        </w:tc>
        <w:tc>
          <w:tcPr>
            <w:tcW w:w="740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1.6</w:t>
            </w:r>
          </w:p>
        </w:tc>
        <w:tc>
          <w:tcPr>
            <w:tcW w:w="7973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>З’єднувальна трубка для манжет НІАТ - 1 шт.</w:t>
            </w:r>
          </w:p>
        </w:tc>
        <w:tc>
          <w:tcPr>
            <w:tcW w:w="740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1.7.</w:t>
            </w:r>
          </w:p>
        </w:tc>
        <w:tc>
          <w:tcPr>
            <w:tcW w:w="7973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>Віддалений дисплей - 1 шт.</w:t>
            </w:r>
          </w:p>
        </w:tc>
        <w:tc>
          <w:tcPr>
            <w:tcW w:w="740" w:type="dxa"/>
          </w:tcPr>
          <w:p w:rsidR="00EF1C1E" w:rsidRPr="00EF1C1E" w:rsidRDefault="00EF1C1E" w:rsidP="00EF1C1E">
            <w:pPr>
              <w:autoSpaceDE/>
              <w:autoSpaceDN/>
              <w:ind w:right="25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b/>
                <w:color w:val="000000"/>
                <w:spacing w:val="-3"/>
                <w:sz w:val="24"/>
                <w:szCs w:val="24"/>
              </w:rPr>
            </w:pPr>
            <w:r w:rsidRPr="00EF1C1E">
              <w:rPr>
                <w:b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EF1C1E">
              <w:rPr>
                <w:b/>
                <w:sz w:val="24"/>
                <w:szCs w:val="24"/>
              </w:rPr>
              <w:t>Загальні технічні вимоги: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>Монітор повинен бути призначеним для моніторингу життєво-важливих показників пацієнта в умовах кабінету магнітно-резонансної томографії з томографами 1,5Т та 3,0Т.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>Монітор повинен бути розташованим на візку. Основний блок повинен мати можливість розташування на відстані не більше 1,5 м від МР сканера.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rPr>
          <w:trHeight w:val="5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Дисплей монітору повинен бути сенсорним діагоналлю не менше 15”, роздільна здатність не менше 1024 × 768.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EF1C1E" w:rsidRPr="00EF1C1E" w:rsidTr="00630D50">
        <w:trPr>
          <w:trHeight w:val="5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2.4.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Можливість роботи від внутрішньої батареї не менше 5 годин. Наявність індикатору рівня заряду батареї.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EF1C1E" w:rsidRPr="00EF1C1E" w:rsidTr="00630D50">
        <w:trPr>
          <w:trHeight w:val="2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Можливість одночасного відображення до 6-ти графіків та цифрових показників.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>Монітор повинен здійснювати моніторинг наступних параметрів - ЕКГ, частота серцевих скорочень, SрО</w:t>
            </w:r>
            <w:r w:rsidRPr="00EF1C1E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EF1C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C1E">
              <w:rPr>
                <w:color w:val="000000"/>
                <w:sz w:val="24"/>
                <w:szCs w:val="24"/>
              </w:rPr>
              <w:t>неінвазивний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 xml:space="preserve"> тиск (діастолічний, систолічний, середній).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>Монітор повинен мати бездротовий датчик ЕКГ з фільтрацією артефактів градієнтів МРТ.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>Можливість моніторингу ЕКГ в І, ІІ та ІІІ відведеннях (графічне відображення та числове відображення ЧСС).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Можливість встановлення верхньої та нижньої меж тривожної сигналізації на ЧСС від 30 до 300 </w:t>
            </w:r>
            <w:proofErr w:type="spellStart"/>
            <w:r w:rsidRPr="00EF1C1E">
              <w:rPr>
                <w:color w:val="000000"/>
                <w:sz w:val="24"/>
                <w:szCs w:val="24"/>
              </w:rPr>
              <w:t>уд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 xml:space="preserve">./хв. Дискретність – 1 </w:t>
            </w:r>
            <w:proofErr w:type="spellStart"/>
            <w:r w:rsidRPr="00EF1C1E">
              <w:rPr>
                <w:color w:val="000000"/>
                <w:sz w:val="24"/>
                <w:szCs w:val="24"/>
              </w:rPr>
              <w:t>уд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>./хв.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Наявність захисту від розряду дефібрилятора. Відповідність стандарту </w:t>
            </w:r>
            <w:r w:rsidRPr="00EF1C1E">
              <w:rPr>
                <w:sz w:val="24"/>
                <w:szCs w:val="24"/>
              </w:rPr>
              <w:t>(IEC 60601-1)</w:t>
            </w:r>
            <w:r w:rsidRPr="00EF1C1E"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Інтервал оновлення показнику ЧСС не більше ніж через 8 ударів. При ЧСС більше 80 </w:t>
            </w: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уд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./хв. час реакції датчика ЧСС повинен бути не більше 7 сек. При ЧСС від 40 до 80 </w:t>
            </w: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уд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./хв. не більше 15 сек.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Час роботи датчику ЕКГ від акумулятору повинен бути не менше 5 годин. Час зарядки до повного заряду не більше 10 годин. </w:t>
            </w:r>
            <w:r w:rsidRPr="00EF1C1E">
              <w:rPr>
                <w:color w:val="000000"/>
                <w:sz w:val="24"/>
                <w:szCs w:val="24"/>
              </w:rPr>
              <w:lastRenderedPageBreak/>
              <w:t>Наявність індикатору заряду акумулятору на моніторі та датчику.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 xml:space="preserve">Монітор повинен мати бездротовий багаторазовий датчик </w:t>
            </w:r>
            <w:proofErr w:type="spellStart"/>
            <w:r w:rsidRPr="00EF1C1E">
              <w:rPr>
                <w:sz w:val="24"/>
                <w:szCs w:val="24"/>
                <w:lang w:val="en-US"/>
              </w:rPr>
              <w:t>SpO</w:t>
            </w:r>
            <w:proofErr w:type="spellEnd"/>
            <w:r w:rsidRPr="00EF1C1E">
              <w:rPr>
                <w:sz w:val="24"/>
                <w:szCs w:val="24"/>
              </w:rPr>
              <w:t>2.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b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У комплекті до датчику </w:t>
            </w:r>
            <w:proofErr w:type="spellStart"/>
            <w:r w:rsidRPr="00EF1C1E">
              <w:rPr>
                <w:sz w:val="24"/>
                <w:szCs w:val="24"/>
                <w:lang w:val="en-US"/>
              </w:rPr>
              <w:t>SpO</w:t>
            </w:r>
            <w:proofErr w:type="spellEnd"/>
            <w:r w:rsidRPr="00EF1C1E">
              <w:rPr>
                <w:sz w:val="24"/>
                <w:szCs w:val="24"/>
              </w:rPr>
              <w:t xml:space="preserve">2 </w:t>
            </w:r>
            <w:r w:rsidRPr="00EF1C1E">
              <w:rPr>
                <w:color w:val="000000"/>
                <w:sz w:val="24"/>
                <w:szCs w:val="24"/>
              </w:rPr>
              <w:t>повинні бути насадки для дорослих, дітей старшого віку та дітей молодшого віку.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Датчик повинен вимірювати показник </w:t>
            </w:r>
            <w:proofErr w:type="spellStart"/>
            <w:r w:rsidRPr="00EF1C1E">
              <w:rPr>
                <w:sz w:val="24"/>
                <w:szCs w:val="24"/>
                <w:lang w:val="en-US"/>
              </w:rPr>
              <w:t>SpO</w:t>
            </w:r>
            <w:proofErr w:type="spellEnd"/>
            <w:r w:rsidRPr="00EF1C1E">
              <w:rPr>
                <w:sz w:val="24"/>
                <w:szCs w:val="24"/>
              </w:rPr>
              <w:t>2 та частоту пульсу.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>Діапазон виміру SpO2 не менше ніж від 35 до 100%.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>Точність виміру SpO2 в межах від 70 до 100% складає ±3%.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Діапазон виміру частоти пульсу не менше ніж від 30 до 240 </w:t>
            </w:r>
            <w:proofErr w:type="spellStart"/>
            <w:r w:rsidRPr="00EF1C1E">
              <w:rPr>
                <w:color w:val="000000"/>
                <w:sz w:val="24"/>
                <w:szCs w:val="24"/>
              </w:rPr>
              <w:t>уд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 xml:space="preserve">./хв. Точність повинна складати не гірше ніж ±1 </w:t>
            </w:r>
            <w:proofErr w:type="spellStart"/>
            <w:r w:rsidRPr="00EF1C1E">
              <w:rPr>
                <w:color w:val="000000"/>
                <w:sz w:val="24"/>
                <w:szCs w:val="24"/>
              </w:rPr>
              <w:t>уд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>./хв.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2.19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Можливість встановлення меж тривожної сигналізації на  показник  SpO2 в межах не менше ніж від 35% до 100%, та частоту пульсу в межах від 30 до 240 </w:t>
            </w:r>
            <w:proofErr w:type="spellStart"/>
            <w:r w:rsidRPr="00EF1C1E">
              <w:rPr>
                <w:color w:val="000000"/>
                <w:sz w:val="24"/>
                <w:szCs w:val="24"/>
              </w:rPr>
              <w:t>уд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>./хв.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Наявність захисту датчику від розряду дефібрилятора. Відповідність стандарту </w:t>
            </w:r>
            <w:r w:rsidRPr="00EF1C1E">
              <w:rPr>
                <w:sz w:val="24"/>
                <w:szCs w:val="24"/>
              </w:rPr>
              <w:t>(IEC 60601-1)</w:t>
            </w:r>
            <w:r w:rsidRPr="00EF1C1E"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Час роботи датчику </w:t>
            </w:r>
            <w:proofErr w:type="spellStart"/>
            <w:r w:rsidRPr="00EF1C1E">
              <w:rPr>
                <w:color w:val="000000"/>
                <w:sz w:val="24"/>
                <w:szCs w:val="24"/>
                <w:lang w:val="en-US"/>
              </w:rPr>
              <w:t>SpO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>2 від акумулятору повинен бути не менше 5 годин. Час зарядки до повного заряду не більше 10 годин. Наявність індикатору заряду акумулятору на моніторі та датчику.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Монітор повинен вимірювати артеріальний тиск пацієнту </w:t>
            </w:r>
            <w:proofErr w:type="spellStart"/>
            <w:r w:rsidRPr="00EF1C1E">
              <w:rPr>
                <w:color w:val="000000"/>
                <w:sz w:val="24"/>
                <w:szCs w:val="24"/>
              </w:rPr>
              <w:t>неінвазивним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 xml:space="preserve"> методом. Метод вимірювання – </w:t>
            </w:r>
            <w:proofErr w:type="spellStart"/>
            <w:r w:rsidRPr="00EF1C1E">
              <w:rPr>
                <w:color w:val="000000"/>
                <w:sz w:val="24"/>
                <w:szCs w:val="24"/>
              </w:rPr>
              <w:t>осцилометричний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>У комплекті апарату повинні бути манжети для виміру НІАТ для дорослих, дітей старшого та молодшого віку.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дисплеї монітору повинні відображуватися показники систолічного, </w:t>
            </w: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діастоличного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та середнього тиску.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2.25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>Тиск повинен вимірюватися в ручному режимі або інтервал вимірювання встановлюється автоматично  у межах від 1 хв. до 30 хв.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2.26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Точність вимірювання повинна складати не гірше ніж ±4 мм </w:t>
            </w:r>
            <w:proofErr w:type="spellStart"/>
            <w:r w:rsidRPr="00EF1C1E">
              <w:rPr>
                <w:color w:val="000000"/>
                <w:sz w:val="24"/>
                <w:szCs w:val="24"/>
              </w:rPr>
              <w:t>рт</w:t>
            </w:r>
            <w:proofErr w:type="spellEnd"/>
            <w:r w:rsidRPr="00EF1C1E">
              <w:rPr>
                <w:color w:val="000000"/>
                <w:sz w:val="24"/>
                <w:szCs w:val="24"/>
              </w:rPr>
              <w:t xml:space="preserve"> ст.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2.27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Діапазон виміру тиску для дорослих та дітей повинен бути в межах не менше ніж: </w:t>
            </w:r>
          </w:p>
          <w:p w:rsidR="00EF1C1E" w:rsidRPr="00EF1C1E" w:rsidRDefault="00EF1C1E" w:rsidP="00EF1C1E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Сист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25–260 мм </w:t>
            </w: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рт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ст. </w:t>
            </w:r>
          </w:p>
          <w:p w:rsidR="00EF1C1E" w:rsidRPr="00EF1C1E" w:rsidRDefault="00EF1C1E" w:rsidP="00EF1C1E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Діаст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10–260 мм </w:t>
            </w: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рт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ст. </w:t>
            </w:r>
          </w:p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F1C1E">
              <w:rPr>
                <w:sz w:val="24"/>
                <w:szCs w:val="24"/>
              </w:rPr>
              <w:t xml:space="preserve">Сер. АТ: 15–250 мм </w:t>
            </w:r>
            <w:proofErr w:type="spellStart"/>
            <w:r w:rsidRPr="00EF1C1E">
              <w:rPr>
                <w:sz w:val="24"/>
                <w:szCs w:val="24"/>
              </w:rPr>
              <w:t>рт</w:t>
            </w:r>
            <w:proofErr w:type="spellEnd"/>
            <w:r w:rsidRPr="00EF1C1E">
              <w:rPr>
                <w:sz w:val="24"/>
                <w:szCs w:val="24"/>
              </w:rPr>
              <w:t>. ст.</w:t>
            </w:r>
            <w:r w:rsidRPr="00EF1C1E"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 xml:space="preserve">Діапазон виміру тиску для новонароджених повинен бути в межах не менше ніж: </w:t>
            </w:r>
          </w:p>
          <w:p w:rsidR="00EF1C1E" w:rsidRPr="00EF1C1E" w:rsidRDefault="00EF1C1E" w:rsidP="00EF1C1E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Сист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20–155 мм </w:t>
            </w: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рт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ст. </w:t>
            </w:r>
          </w:p>
          <w:p w:rsidR="00EF1C1E" w:rsidRPr="00EF1C1E" w:rsidRDefault="00EF1C1E" w:rsidP="00EF1C1E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Діаст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5–110 мм </w:t>
            </w: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рт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ст. </w:t>
            </w:r>
          </w:p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 xml:space="preserve">Сер. АТ: 10–130 мм </w:t>
            </w:r>
            <w:proofErr w:type="spellStart"/>
            <w:r w:rsidRPr="00EF1C1E">
              <w:rPr>
                <w:sz w:val="24"/>
                <w:szCs w:val="24"/>
              </w:rPr>
              <w:t>рт</w:t>
            </w:r>
            <w:proofErr w:type="spellEnd"/>
            <w:r w:rsidRPr="00EF1C1E">
              <w:rPr>
                <w:sz w:val="24"/>
                <w:szCs w:val="24"/>
              </w:rPr>
              <w:t>. ст.</w:t>
            </w:r>
            <w:r w:rsidRPr="00EF1C1E"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2.29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  <w:highlight w:val="green"/>
              </w:rPr>
            </w:pPr>
            <w:r w:rsidRPr="00EF1C1E">
              <w:rPr>
                <w:color w:val="000000"/>
                <w:sz w:val="24"/>
                <w:szCs w:val="24"/>
              </w:rPr>
              <w:t>Повинен бути пневматичний захист від надлишкового тиску у манжеті  для всіх вікових категорій пацієнтів.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2.30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color w:val="000000"/>
                <w:sz w:val="24"/>
                <w:szCs w:val="24"/>
              </w:rPr>
              <w:t>Можливість встановлення меж тривожної сигналізації на тиск у межах не менше ніж:</w:t>
            </w:r>
          </w:p>
          <w:p w:rsidR="00EF1C1E" w:rsidRPr="00EF1C1E" w:rsidRDefault="00EF1C1E" w:rsidP="00EF1C1E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Сист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20–260 мм </w:t>
            </w: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рт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ст. </w:t>
            </w:r>
          </w:p>
          <w:p w:rsidR="00EF1C1E" w:rsidRPr="00EF1C1E" w:rsidRDefault="00EF1C1E" w:rsidP="00EF1C1E">
            <w:pPr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Діаст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.: 5–260 мм </w:t>
            </w:r>
            <w:proofErr w:type="spellStart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>рт</w:t>
            </w:r>
            <w:proofErr w:type="spellEnd"/>
            <w:r w:rsidRPr="00EF1C1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ст. </w:t>
            </w:r>
          </w:p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 xml:space="preserve">Сер. АТ: 10–250 мм </w:t>
            </w:r>
            <w:proofErr w:type="spellStart"/>
            <w:r w:rsidRPr="00EF1C1E">
              <w:rPr>
                <w:sz w:val="24"/>
                <w:szCs w:val="24"/>
              </w:rPr>
              <w:t>рт</w:t>
            </w:r>
            <w:proofErr w:type="spellEnd"/>
            <w:r w:rsidRPr="00EF1C1E">
              <w:rPr>
                <w:sz w:val="24"/>
                <w:szCs w:val="24"/>
              </w:rPr>
              <w:t>. ст.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2.31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>Наявність у комплекті додаткового віддаленого монітору, що встановлюється у приміщенні управління МРТ, для відображення життєво-важливих параметрів пацієнта та показників вентиляції у випадку якщо наркозно-дихальний апарат підтримує цю функцію. Віддалений монітор повинен з’єднуватися з основним монітором бездротовим шляхом.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EF1C1E" w:rsidRPr="00EF1C1E" w:rsidTr="00630D5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lastRenderedPageBreak/>
              <w:t>2.32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F1C1E">
              <w:rPr>
                <w:sz w:val="24"/>
                <w:szCs w:val="24"/>
              </w:rPr>
              <w:t xml:space="preserve">Розмір віддаленого монітору повинен бути не менше 15''. Розподільча здатність не менше ніж 1024х768 </w:t>
            </w:r>
            <w:proofErr w:type="spellStart"/>
            <w:r w:rsidRPr="00EF1C1E">
              <w:rPr>
                <w:sz w:val="24"/>
                <w:szCs w:val="24"/>
              </w:rPr>
              <w:t>пікселей</w:t>
            </w:r>
            <w:proofErr w:type="spellEnd"/>
            <w:r w:rsidRPr="00EF1C1E">
              <w:rPr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E" w:rsidRPr="00EF1C1E" w:rsidRDefault="00EF1C1E" w:rsidP="00EF1C1E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p w:rsidR="00EF1C1E" w:rsidRPr="00EF1C1E" w:rsidRDefault="00EF1C1E" w:rsidP="00EF1C1E">
      <w:pPr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</w:p>
    <w:bookmarkEnd w:id="0"/>
    <w:p w:rsidR="00EF1C1E" w:rsidRPr="00EF1C1E" w:rsidRDefault="00EF1C1E" w:rsidP="00EF1C1E">
      <w:pPr>
        <w:adjustRightInd w:val="0"/>
        <w:ind w:firstLine="720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EF1C1E">
        <w:rPr>
          <w:rFonts w:eastAsia="Calibri"/>
          <w:bCs/>
          <w:i/>
          <w:iCs/>
          <w:sz w:val="24"/>
          <w:szCs w:val="24"/>
          <w:lang w:eastAsia="en-US"/>
        </w:rPr>
        <w:t>Загальні вимоги: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 xml:space="preserve">1. Товар, що пропонується, повинен бути новим, таким, що не був у використанні. </w:t>
      </w:r>
      <w:r w:rsidRPr="00EF1C1E">
        <w:rPr>
          <w:rFonts w:eastAsia="Calibri"/>
          <w:bCs/>
          <w:iCs/>
          <w:sz w:val="24"/>
          <w:szCs w:val="24"/>
          <w:lang w:eastAsia="en-US"/>
        </w:rPr>
        <w:t>Для підтвердження учасник надає гарантійний лист</w:t>
      </w:r>
      <w:r w:rsidRPr="00EF1C1E">
        <w:rPr>
          <w:rFonts w:eastAsia="Calibri"/>
          <w:sz w:val="24"/>
          <w:szCs w:val="24"/>
          <w:lang w:eastAsia="en-US"/>
        </w:rPr>
        <w:t>.</w:t>
      </w:r>
    </w:p>
    <w:p w:rsidR="00EF1C1E" w:rsidRPr="00EF1C1E" w:rsidRDefault="00EF1C1E" w:rsidP="00EF1C1E">
      <w:pPr>
        <w:shd w:val="clear" w:color="auto" w:fill="FFFFFF"/>
        <w:tabs>
          <w:tab w:val="left" w:pos="720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>2. Товар повинен бути належним чином зареєстрованим в Україні або дозволеним для введення в обіг та/або експлуатацію (застосування) відповідно до законодавства, сертифікованим для використання у медичних закладах.</w:t>
      </w:r>
    </w:p>
    <w:p w:rsidR="00EF1C1E" w:rsidRPr="00EF1C1E" w:rsidRDefault="00EF1C1E" w:rsidP="00EF1C1E">
      <w:pPr>
        <w:shd w:val="clear" w:color="auto" w:fill="FFFFFF"/>
        <w:tabs>
          <w:tab w:val="left" w:pos="720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>Ця вимога підтверджується:</w:t>
      </w:r>
    </w:p>
    <w:p w:rsidR="00EF1C1E" w:rsidRPr="00EF1C1E" w:rsidRDefault="00EF1C1E" w:rsidP="00EF1C1E">
      <w:pPr>
        <w:shd w:val="clear" w:color="auto" w:fill="FFFFFF"/>
        <w:tabs>
          <w:tab w:val="left" w:pos="720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 xml:space="preserve">- завіреною копією декларації або копією документів, що підтверджують можливість введення в обіг та/або експлуатацію (застосування) товару за результатами проходження процедури оцінки відповідності згідно вимог технічного регламенту, або </w:t>
      </w:r>
    </w:p>
    <w:p w:rsidR="00EF1C1E" w:rsidRPr="00EF1C1E" w:rsidRDefault="00EF1C1E" w:rsidP="00EF1C1E">
      <w:pPr>
        <w:shd w:val="clear" w:color="auto" w:fill="FFFFFF"/>
        <w:tabs>
          <w:tab w:val="left" w:pos="720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>- завіреною копією Свідоцтва про державну реєстрацію медичного виробу, що свідчить про наявність медичного виробу в Державному реєстрі медичної техніки та виробів медичного призначення.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 xml:space="preserve">3. Гарантійний термін обслуговування не менше 12 місяців з моменту введення в експлуатацію (якщо інше не передбачено технічними вимогами). </w:t>
      </w:r>
      <w:r w:rsidRPr="00EF1C1E">
        <w:rPr>
          <w:rFonts w:eastAsia="Calibri"/>
          <w:bCs/>
          <w:iCs/>
          <w:sz w:val="24"/>
          <w:szCs w:val="24"/>
          <w:lang w:eastAsia="en-US"/>
        </w:rPr>
        <w:t>Для підтвердження учасник надає гарантійний лист.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>4. Сервісне обслуговування повинно здійснюватися інженерним персоналом, що сертифікований виробником - наявність сервісного центру на території України (обов’язково) та фахівців, які пройшли навчання у виробника запропонованого обладнання (надати копію відповідного документа).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 xml:space="preserve">5. Спроможність учасника поставити запропонований товар повинна підтверджуватись оригіналом гарантійного листа від виробника (якщо учасник не є виробником товару), або офіційного представника на території України (із наданням копії </w:t>
      </w:r>
      <w:proofErr w:type="spellStart"/>
      <w:r w:rsidRPr="00EF1C1E">
        <w:rPr>
          <w:rFonts w:eastAsia="Calibri"/>
          <w:sz w:val="24"/>
          <w:szCs w:val="24"/>
          <w:lang w:eastAsia="en-US"/>
        </w:rPr>
        <w:t>авторизаційного</w:t>
      </w:r>
      <w:proofErr w:type="spellEnd"/>
      <w:r w:rsidRPr="00EF1C1E">
        <w:rPr>
          <w:rFonts w:eastAsia="Calibri"/>
          <w:sz w:val="24"/>
          <w:szCs w:val="24"/>
          <w:lang w:eastAsia="en-US"/>
        </w:rPr>
        <w:t xml:space="preserve"> листа виробника), що підтверджує можливість постачання учасником запропонованого товару в необхідній кількості, якості та в потрібні терміни, визначені цією тендерною документацією та пропозицією учасника (надати оригінал такого гарантійного листа).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>6. Наявність інструкції (паспорта) або будь-якого іншого документа щодо експлуатації запропонованого товару мовою оригіналу та з перекладом на українську мову (надати копії).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>7. Вантажно-розвантажувальні роботи та доставка товару до закладів охорони здоров’я повинна здійснюватися постачальником за власні кошти. Для підтвердження учасник надає гарантійний лист.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>8. Термін поставки товару: 30 днів з дати отримання письмової заявки  Замовника, але не пізніше 29.12.2022. Для підтвердження учасник надає гарантійний лист.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bCs/>
          <w:iCs/>
          <w:sz w:val="24"/>
          <w:szCs w:val="24"/>
          <w:lang w:eastAsia="en-US"/>
        </w:rPr>
        <w:t>9. Монтаж та навчання медперсоналу роботі на апаратурі постачальник проводить безкоштовно за письмовою заявою закладу-отримувача, якщо інше не передбачено умовами договору. Для підтвердження учасник надає гарантійний лист.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>10. Запропонований товар повинен відповідати заявленим технічним вимогам. Для підтвердження учасник надає заповнену таблицю щодо відповідності з посиланням на відповідні розділи, та/або сторінку(и) технічного документа виробника.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t>11. Запропонований товар повинен бути якісним. Для підтвердження учасник надає сертифікат відповідності, виданий відповідним органом з сертифікації, акредитованим національним органом України з акредитації,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Якщо медичне обладнання не передбачає наявність зазначеного сертифіката, учасник надає лист-роз’яснення.</w:t>
      </w:r>
    </w:p>
    <w:p w:rsidR="00EF1C1E" w:rsidRPr="00EF1C1E" w:rsidRDefault="00EF1C1E" w:rsidP="00EF1C1E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F1C1E">
        <w:rPr>
          <w:rFonts w:eastAsia="Calibri"/>
          <w:sz w:val="24"/>
          <w:szCs w:val="24"/>
          <w:lang w:eastAsia="en-US"/>
        </w:rPr>
        <w:lastRenderedPageBreak/>
        <w:t xml:space="preserve">12. </w:t>
      </w:r>
      <w:r w:rsidRPr="00EF1C1E">
        <w:rPr>
          <w:rFonts w:eastAsia="Calibri"/>
          <w:bCs/>
          <w:sz w:val="24"/>
          <w:szCs w:val="24"/>
          <w:lang w:eastAsia="en-US"/>
        </w:rPr>
        <w:t>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1E1273" w:rsidRDefault="001E1273" w:rsidP="001E1273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F1C1E" w:rsidRDefault="00EF1C1E" w:rsidP="001E1273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F1C1E" w:rsidRPr="001E1273" w:rsidRDefault="00EF1C1E" w:rsidP="001E1273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E1273" w:rsidRPr="001E1273" w:rsidRDefault="001E1273" w:rsidP="001E1273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E1273">
        <w:rPr>
          <w:rFonts w:eastAsia="Calibri"/>
          <w:b/>
          <w:bCs/>
          <w:sz w:val="24"/>
          <w:szCs w:val="24"/>
          <w:lang w:eastAsia="en-US"/>
        </w:rPr>
        <w:t>Форма тендерної пропозиції</w:t>
      </w:r>
    </w:p>
    <w:p w:rsidR="001E1273" w:rsidRPr="001E1273" w:rsidRDefault="001E1273" w:rsidP="001E1273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p w:rsidR="001E1273" w:rsidRPr="001E1273" w:rsidRDefault="001E1273" w:rsidP="001E1273">
      <w:pPr>
        <w:autoSpaceDE/>
        <w:autoSpaceDN/>
        <w:jc w:val="center"/>
        <w:rPr>
          <w:rFonts w:eastAsia="Calibri"/>
          <w:bCs/>
          <w:iCs/>
          <w:lang w:eastAsia="en-US"/>
        </w:rPr>
      </w:pPr>
      <w:r w:rsidRPr="001E1273">
        <w:rPr>
          <w:rFonts w:eastAsia="Calibri"/>
          <w:bCs/>
          <w:iCs/>
          <w:lang w:eastAsia="en-US"/>
        </w:rPr>
        <w:t>(назва процедури закупівлі)</w:t>
      </w:r>
    </w:p>
    <w:p w:rsidR="001E1273" w:rsidRPr="001E1273" w:rsidRDefault="001E1273" w:rsidP="001E1273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2256"/>
        <w:gridCol w:w="2341"/>
        <w:gridCol w:w="1801"/>
        <w:gridCol w:w="1261"/>
        <w:gridCol w:w="1115"/>
      </w:tblGrid>
      <w:tr w:rsidR="001E1273" w:rsidRPr="001E1273" w:rsidTr="002F47A6">
        <w:trPr>
          <w:trHeight w:val="1284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273" w:rsidRPr="001E1273" w:rsidRDefault="001E1273" w:rsidP="001E1273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1E1273">
              <w:rPr>
                <w:rFonts w:eastAsia="Calibri"/>
                <w:lang w:eastAsia="en-US"/>
              </w:rPr>
              <w:t>№ лоту/</w:t>
            </w:r>
          </w:p>
          <w:p w:rsidR="001E1273" w:rsidRPr="001E1273" w:rsidRDefault="001E1273" w:rsidP="001E1273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1E1273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273" w:rsidRPr="001E1273" w:rsidRDefault="001E1273" w:rsidP="001E1273">
            <w:pPr>
              <w:autoSpaceDE/>
              <w:autoSpaceDN/>
              <w:ind w:left="78" w:hanging="78"/>
              <w:jc w:val="center"/>
              <w:rPr>
                <w:rFonts w:eastAsia="Calibri"/>
                <w:lang w:eastAsia="en-US"/>
              </w:rPr>
            </w:pPr>
            <w:r w:rsidRPr="001E1273">
              <w:rPr>
                <w:rFonts w:eastAsia="Calibri"/>
                <w:lang w:eastAsia="en-US"/>
              </w:rPr>
              <w:t>Найменування предмету закупівлі/товару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273" w:rsidRPr="001E1273" w:rsidRDefault="001E1273" w:rsidP="001E1273">
            <w:pPr>
              <w:autoSpaceDE/>
              <w:autoSpaceDN/>
              <w:ind w:firstLine="33"/>
              <w:jc w:val="center"/>
              <w:rPr>
                <w:rFonts w:eastAsia="Calibri"/>
                <w:lang w:eastAsia="en-US"/>
              </w:rPr>
            </w:pPr>
            <w:r w:rsidRPr="001E1273">
              <w:rPr>
                <w:rFonts w:eastAsia="Calibri"/>
                <w:lang w:eastAsia="en-US"/>
              </w:rPr>
              <w:t>Торгівельна назва товару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273" w:rsidRPr="001E1273" w:rsidRDefault="001E1273" w:rsidP="001E1273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1E1273">
              <w:rPr>
                <w:rFonts w:eastAsia="Calibri"/>
                <w:lang w:eastAsia="en-US"/>
              </w:rPr>
              <w:t>Виробник, країна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273" w:rsidRPr="001E1273" w:rsidRDefault="001E1273" w:rsidP="001E1273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1E1273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273" w:rsidRPr="001E1273" w:rsidRDefault="001E1273" w:rsidP="001E1273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1E1273">
              <w:rPr>
                <w:rFonts w:eastAsia="Calibri"/>
                <w:lang w:eastAsia="en-US"/>
              </w:rPr>
              <w:t>Кількість,</w:t>
            </w:r>
          </w:p>
          <w:p w:rsidR="001E1273" w:rsidRPr="001E1273" w:rsidRDefault="001E1273" w:rsidP="001E1273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1E1273">
              <w:rPr>
                <w:rFonts w:eastAsia="Calibri"/>
                <w:lang w:eastAsia="en-US"/>
              </w:rPr>
              <w:t>од.</w:t>
            </w:r>
          </w:p>
        </w:tc>
      </w:tr>
      <w:tr w:rsidR="001E1273" w:rsidRPr="001E1273" w:rsidTr="002F47A6">
        <w:trPr>
          <w:trHeight w:val="34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3" w:rsidRPr="001E1273" w:rsidRDefault="001E1273" w:rsidP="001E1273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1E1273" w:rsidRPr="001E1273" w:rsidRDefault="001E1273" w:rsidP="001E1273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3" w:rsidRPr="001E1273" w:rsidRDefault="001E1273" w:rsidP="001E1273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3" w:rsidRPr="001E1273" w:rsidRDefault="001E1273" w:rsidP="001E1273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3" w:rsidRPr="001E1273" w:rsidRDefault="001E1273" w:rsidP="001E1273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3" w:rsidRPr="001E1273" w:rsidRDefault="001E1273" w:rsidP="001E1273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73" w:rsidRPr="001E1273" w:rsidRDefault="001E1273" w:rsidP="001E1273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E1273" w:rsidRPr="001E1273" w:rsidRDefault="001E1273" w:rsidP="001E1273">
      <w:pPr>
        <w:shd w:val="clear" w:color="auto" w:fill="FFFFFF"/>
        <w:tabs>
          <w:tab w:val="left" w:pos="72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5495"/>
        <w:gridCol w:w="3613"/>
      </w:tblGrid>
      <w:tr w:rsidR="001E1273" w:rsidRPr="001E1273" w:rsidTr="001E1273"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1E1273" w:rsidRPr="001E1273" w:rsidRDefault="001E1273" w:rsidP="001E1273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1273">
              <w:rPr>
                <w:rFonts w:eastAsia="Calibri"/>
                <w:sz w:val="16"/>
                <w:szCs w:val="16"/>
                <w:lang w:eastAsia="en-US"/>
              </w:rPr>
              <w:t xml:space="preserve">(посада особи, що підписує форму)                                                                   </w:t>
            </w:r>
          </w:p>
          <w:p w:rsidR="001E1273" w:rsidRPr="001E1273" w:rsidRDefault="001E1273" w:rsidP="001E1273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1273">
              <w:rPr>
                <w:rFonts w:eastAsia="Calibri"/>
                <w:sz w:val="16"/>
                <w:szCs w:val="16"/>
                <w:lang w:eastAsia="en-US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1E1273" w:rsidRPr="001E1273" w:rsidRDefault="001E1273" w:rsidP="001E1273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1273">
              <w:rPr>
                <w:rFonts w:eastAsia="Calibri"/>
                <w:sz w:val="16"/>
                <w:szCs w:val="16"/>
                <w:lang w:eastAsia="en-US"/>
              </w:rPr>
              <w:t>( П.І.Б.)</w:t>
            </w:r>
          </w:p>
          <w:p w:rsidR="001E1273" w:rsidRPr="001E1273" w:rsidRDefault="001E1273" w:rsidP="001E1273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1E1273">
              <w:rPr>
                <w:rFonts w:eastAsia="Calibri"/>
                <w:sz w:val="16"/>
                <w:szCs w:val="16"/>
                <w:lang w:eastAsia="en-US"/>
              </w:rPr>
              <w:t xml:space="preserve">М. П.*                                     </w:t>
            </w:r>
          </w:p>
        </w:tc>
      </w:tr>
    </w:tbl>
    <w:p w:rsidR="001E1273" w:rsidRPr="001E1273" w:rsidRDefault="001E1273" w:rsidP="001E1273">
      <w:pPr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1E1273">
        <w:rPr>
          <w:rFonts w:eastAsia="Calibri"/>
          <w:lang w:eastAsia="en-US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1E1273" w:rsidRPr="001E1273" w:rsidRDefault="001E1273" w:rsidP="001E1273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  <w:r w:rsidRPr="001E1273">
        <w:rPr>
          <w:rFonts w:eastAsia="Calibri"/>
          <w:bCs/>
          <w:iCs/>
          <w:lang w:eastAsia="en-US"/>
        </w:rPr>
        <w:t>**</w:t>
      </w:r>
      <w:r w:rsidRPr="001E1273">
        <w:rPr>
          <w:rFonts w:eastAsia="Calibri"/>
          <w:bCs/>
          <w:lang w:eastAsia="en-US"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532E0E" w:rsidRPr="0084562C" w:rsidRDefault="00532E0E" w:rsidP="00532E0E">
      <w:pPr>
        <w:ind w:firstLine="708"/>
        <w:jc w:val="both"/>
        <w:rPr>
          <w:sz w:val="24"/>
          <w:szCs w:val="24"/>
        </w:rPr>
      </w:pPr>
    </w:p>
    <w:p w:rsidR="00520BEA" w:rsidRPr="003C4207" w:rsidRDefault="00520BEA" w:rsidP="003C4207">
      <w:pPr>
        <w:pStyle w:val="a9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C4207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E7188A" w:rsidRDefault="00CF1CEE" w:rsidP="00992B05">
      <w:pPr>
        <w:rPr>
          <w:rFonts w:eastAsia="MS Mincho"/>
          <w:sz w:val="28"/>
          <w:szCs w:val="28"/>
        </w:rPr>
      </w:pPr>
      <w:r w:rsidRPr="00CF1CEE">
        <w:rPr>
          <w:b/>
          <w:bCs/>
          <w:sz w:val="28"/>
          <w:szCs w:val="28"/>
        </w:rPr>
        <w:t xml:space="preserve">2 443 521,00 грн </w:t>
      </w:r>
      <w:r w:rsidRPr="00CF1CEE">
        <w:rPr>
          <w:sz w:val="28"/>
          <w:szCs w:val="28"/>
        </w:rPr>
        <w:t>(Два мільйони чотириста сорок три тисячі п'ятсот двадцять одна гривня 00 копійок)</w:t>
      </w:r>
      <w:r w:rsidRPr="00CF1CEE">
        <w:rPr>
          <w:b/>
          <w:bCs/>
          <w:sz w:val="28"/>
          <w:szCs w:val="28"/>
        </w:rPr>
        <w:t>, без ПДВ.</w:t>
      </w: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532E0E" w:rsidRPr="00532E0E" w:rsidRDefault="00532E0E" w:rsidP="00532E0E">
      <w:pPr>
        <w:ind w:firstLine="708"/>
        <w:rPr>
          <w:rFonts w:eastAsia="MS Mincho"/>
        </w:rPr>
      </w:pPr>
    </w:p>
    <w:sectPr w:rsidR="00532E0E" w:rsidRPr="0053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05448D5"/>
    <w:multiLevelType w:val="hybridMultilevel"/>
    <w:tmpl w:val="B11E6FF4"/>
    <w:lvl w:ilvl="0" w:tplc="A28ED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9E4A89"/>
    <w:multiLevelType w:val="hybridMultilevel"/>
    <w:tmpl w:val="395CD9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0B96C8F"/>
    <w:multiLevelType w:val="hybridMultilevel"/>
    <w:tmpl w:val="E35E1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D506DA2"/>
    <w:multiLevelType w:val="hybridMultilevel"/>
    <w:tmpl w:val="6A00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E51501"/>
    <w:multiLevelType w:val="hybridMultilevel"/>
    <w:tmpl w:val="8BF83214"/>
    <w:lvl w:ilvl="0" w:tplc="4A3441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9A763E8"/>
    <w:multiLevelType w:val="hybridMultilevel"/>
    <w:tmpl w:val="37704606"/>
    <w:lvl w:ilvl="0" w:tplc="7DFEF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EDF1110"/>
    <w:multiLevelType w:val="hybridMultilevel"/>
    <w:tmpl w:val="AB8E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A4DCD"/>
    <w:multiLevelType w:val="hybridMultilevel"/>
    <w:tmpl w:val="D550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766DD4"/>
    <w:multiLevelType w:val="hybridMultilevel"/>
    <w:tmpl w:val="F45299E0"/>
    <w:lvl w:ilvl="0" w:tplc="B5BECE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21A4B"/>
    <w:multiLevelType w:val="hybridMultilevel"/>
    <w:tmpl w:val="DD769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24D65648"/>
    <w:multiLevelType w:val="hybridMultilevel"/>
    <w:tmpl w:val="7BD6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8EF1044"/>
    <w:multiLevelType w:val="hybridMultilevel"/>
    <w:tmpl w:val="634CEE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957F11"/>
    <w:multiLevelType w:val="hybridMultilevel"/>
    <w:tmpl w:val="01D8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6B6C53"/>
    <w:multiLevelType w:val="hybridMultilevel"/>
    <w:tmpl w:val="CF44FC1C"/>
    <w:lvl w:ilvl="0" w:tplc="E6D28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E936AAF"/>
    <w:multiLevelType w:val="hybridMultilevel"/>
    <w:tmpl w:val="1E90C1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34B00B60"/>
    <w:multiLevelType w:val="multilevel"/>
    <w:tmpl w:val="4C26D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i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2">
    <w:nsid w:val="36E11533"/>
    <w:multiLevelType w:val="hybridMultilevel"/>
    <w:tmpl w:val="0E58A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736BA3"/>
    <w:multiLevelType w:val="multilevel"/>
    <w:tmpl w:val="11AE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4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4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0750225"/>
    <w:multiLevelType w:val="hybridMultilevel"/>
    <w:tmpl w:val="D56A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2B6035"/>
    <w:multiLevelType w:val="hybridMultilevel"/>
    <w:tmpl w:val="36F4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E6387E"/>
    <w:multiLevelType w:val="multilevel"/>
    <w:tmpl w:val="49E6387E"/>
    <w:lvl w:ilvl="0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2F18D5"/>
    <w:multiLevelType w:val="hybridMultilevel"/>
    <w:tmpl w:val="605C310E"/>
    <w:lvl w:ilvl="0" w:tplc="CE54F03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2040B6D"/>
    <w:multiLevelType w:val="hybridMultilevel"/>
    <w:tmpl w:val="E63E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A087785"/>
    <w:multiLevelType w:val="hybridMultilevel"/>
    <w:tmpl w:val="02B405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74E06"/>
    <w:multiLevelType w:val="hybridMultilevel"/>
    <w:tmpl w:val="2BEECED2"/>
    <w:lvl w:ilvl="0" w:tplc="47CA80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557447"/>
    <w:multiLevelType w:val="hybridMultilevel"/>
    <w:tmpl w:val="B614A454"/>
    <w:lvl w:ilvl="0" w:tplc="66680A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1"/>
  </w:num>
  <w:num w:numId="5">
    <w:abstractNumId w:val="30"/>
  </w:num>
  <w:num w:numId="6">
    <w:abstractNumId w:val="16"/>
  </w:num>
  <w:num w:numId="7">
    <w:abstractNumId w:val="20"/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</w:num>
  <w:num w:numId="25">
    <w:abstractNumId w:val="18"/>
  </w:num>
  <w:num w:numId="26">
    <w:abstractNumId w:val="46"/>
  </w:num>
  <w:num w:numId="27">
    <w:abstractNumId w:val="11"/>
  </w:num>
  <w:num w:numId="28">
    <w:abstractNumId w:val="24"/>
  </w:num>
  <w:num w:numId="29">
    <w:abstractNumId w:val="47"/>
  </w:num>
  <w:num w:numId="30">
    <w:abstractNumId w:val="38"/>
  </w:num>
  <w:num w:numId="31">
    <w:abstractNumId w:val="32"/>
  </w:num>
  <w:num w:numId="32">
    <w:abstractNumId w:val="33"/>
  </w:num>
  <w:num w:numId="33">
    <w:abstractNumId w:val="44"/>
  </w:num>
  <w:num w:numId="34">
    <w:abstractNumId w:val="17"/>
  </w:num>
  <w:num w:numId="35">
    <w:abstractNumId w:val="41"/>
  </w:num>
  <w:num w:numId="36">
    <w:abstractNumId w:val="22"/>
  </w:num>
  <w:num w:numId="37">
    <w:abstractNumId w:val="45"/>
  </w:num>
  <w:num w:numId="38">
    <w:abstractNumId w:val="27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7"/>
  </w:num>
  <w:num w:numId="42">
    <w:abstractNumId w:val="19"/>
  </w:num>
  <w:num w:numId="43">
    <w:abstractNumId w:val="29"/>
  </w:num>
  <w:num w:numId="44">
    <w:abstractNumId w:val="12"/>
  </w:num>
  <w:num w:numId="45">
    <w:abstractNumId w:val="28"/>
  </w:num>
  <w:num w:numId="46">
    <w:abstractNumId w:val="25"/>
  </w:num>
  <w:num w:numId="47">
    <w:abstractNumId w:val="36"/>
  </w:num>
  <w:num w:numId="48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0655"/>
    <w:rsid w:val="00017C12"/>
    <w:rsid w:val="0002297E"/>
    <w:rsid w:val="00030A5D"/>
    <w:rsid w:val="0005436D"/>
    <w:rsid w:val="000679FE"/>
    <w:rsid w:val="000731E1"/>
    <w:rsid w:val="00076E5B"/>
    <w:rsid w:val="0008059F"/>
    <w:rsid w:val="000809BA"/>
    <w:rsid w:val="000821DF"/>
    <w:rsid w:val="00092739"/>
    <w:rsid w:val="000975BE"/>
    <w:rsid w:val="000A20D5"/>
    <w:rsid w:val="000A3DBD"/>
    <w:rsid w:val="000A582C"/>
    <w:rsid w:val="000A74AB"/>
    <w:rsid w:val="000C3D46"/>
    <w:rsid w:val="000D140B"/>
    <w:rsid w:val="000D248A"/>
    <w:rsid w:val="000D504C"/>
    <w:rsid w:val="000E485F"/>
    <w:rsid w:val="000E59A4"/>
    <w:rsid w:val="000F0E55"/>
    <w:rsid w:val="000F1883"/>
    <w:rsid w:val="000F1D6C"/>
    <w:rsid w:val="000F2434"/>
    <w:rsid w:val="00100AD2"/>
    <w:rsid w:val="00107427"/>
    <w:rsid w:val="00110293"/>
    <w:rsid w:val="00113B3A"/>
    <w:rsid w:val="00116FB2"/>
    <w:rsid w:val="00116FFD"/>
    <w:rsid w:val="001170E4"/>
    <w:rsid w:val="0014099F"/>
    <w:rsid w:val="00152E1B"/>
    <w:rsid w:val="0015394C"/>
    <w:rsid w:val="00184E9F"/>
    <w:rsid w:val="00185BFE"/>
    <w:rsid w:val="001879D1"/>
    <w:rsid w:val="001969C6"/>
    <w:rsid w:val="001A02B9"/>
    <w:rsid w:val="001A46C0"/>
    <w:rsid w:val="001A57C8"/>
    <w:rsid w:val="001B0845"/>
    <w:rsid w:val="001B135C"/>
    <w:rsid w:val="001B51C7"/>
    <w:rsid w:val="001B60EC"/>
    <w:rsid w:val="001C3DFD"/>
    <w:rsid w:val="001E1273"/>
    <w:rsid w:val="001F2E71"/>
    <w:rsid w:val="001F3469"/>
    <w:rsid w:val="001F6290"/>
    <w:rsid w:val="001F7E5D"/>
    <w:rsid w:val="002001E6"/>
    <w:rsid w:val="002112CF"/>
    <w:rsid w:val="00216FD1"/>
    <w:rsid w:val="00246867"/>
    <w:rsid w:val="002541C5"/>
    <w:rsid w:val="00262AD2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2F47A6"/>
    <w:rsid w:val="00306C00"/>
    <w:rsid w:val="00310D8A"/>
    <w:rsid w:val="00322106"/>
    <w:rsid w:val="003272ED"/>
    <w:rsid w:val="00332AE4"/>
    <w:rsid w:val="00352629"/>
    <w:rsid w:val="00352A71"/>
    <w:rsid w:val="00353F89"/>
    <w:rsid w:val="0035569D"/>
    <w:rsid w:val="0035583C"/>
    <w:rsid w:val="0036166A"/>
    <w:rsid w:val="003625AA"/>
    <w:rsid w:val="003641A6"/>
    <w:rsid w:val="00376238"/>
    <w:rsid w:val="00380F0A"/>
    <w:rsid w:val="00392B5B"/>
    <w:rsid w:val="003A7D39"/>
    <w:rsid w:val="003B31D8"/>
    <w:rsid w:val="003B60F3"/>
    <w:rsid w:val="003C2015"/>
    <w:rsid w:val="003C4207"/>
    <w:rsid w:val="003C5EB7"/>
    <w:rsid w:val="003D3F72"/>
    <w:rsid w:val="003E11F1"/>
    <w:rsid w:val="00403F81"/>
    <w:rsid w:val="00405126"/>
    <w:rsid w:val="00424AAE"/>
    <w:rsid w:val="00427D83"/>
    <w:rsid w:val="00431E5F"/>
    <w:rsid w:val="00433F80"/>
    <w:rsid w:val="00453BF0"/>
    <w:rsid w:val="00460F05"/>
    <w:rsid w:val="00461B51"/>
    <w:rsid w:val="00464770"/>
    <w:rsid w:val="004662DF"/>
    <w:rsid w:val="00471C66"/>
    <w:rsid w:val="00486B15"/>
    <w:rsid w:val="0049507A"/>
    <w:rsid w:val="004A504E"/>
    <w:rsid w:val="004A7253"/>
    <w:rsid w:val="004C1D96"/>
    <w:rsid w:val="004F13D8"/>
    <w:rsid w:val="004F30CF"/>
    <w:rsid w:val="004F3463"/>
    <w:rsid w:val="004F6127"/>
    <w:rsid w:val="0050242E"/>
    <w:rsid w:val="00520BEA"/>
    <w:rsid w:val="005225EC"/>
    <w:rsid w:val="005237AA"/>
    <w:rsid w:val="00523D90"/>
    <w:rsid w:val="00524684"/>
    <w:rsid w:val="0053187C"/>
    <w:rsid w:val="00532E0E"/>
    <w:rsid w:val="005344AF"/>
    <w:rsid w:val="0053759E"/>
    <w:rsid w:val="00546CFE"/>
    <w:rsid w:val="00570BC2"/>
    <w:rsid w:val="00571927"/>
    <w:rsid w:val="00574ECF"/>
    <w:rsid w:val="0058325C"/>
    <w:rsid w:val="0058731F"/>
    <w:rsid w:val="005942E1"/>
    <w:rsid w:val="005B188C"/>
    <w:rsid w:val="005B4DEE"/>
    <w:rsid w:val="005B6E36"/>
    <w:rsid w:val="005C4522"/>
    <w:rsid w:val="005D7F21"/>
    <w:rsid w:val="005E70FD"/>
    <w:rsid w:val="005F3340"/>
    <w:rsid w:val="00606521"/>
    <w:rsid w:val="00620C8C"/>
    <w:rsid w:val="00630D50"/>
    <w:rsid w:val="00640658"/>
    <w:rsid w:val="006439E9"/>
    <w:rsid w:val="006452AD"/>
    <w:rsid w:val="00646233"/>
    <w:rsid w:val="00646926"/>
    <w:rsid w:val="00651A90"/>
    <w:rsid w:val="006557BF"/>
    <w:rsid w:val="0065722A"/>
    <w:rsid w:val="00663EB5"/>
    <w:rsid w:val="0066427A"/>
    <w:rsid w:val="00677515"/>
    <w:rsid w:val="00685E93"/>
    <w:rsid w:val="00694722"/>
    <w:rsid w:val="006A74E9"/>
    <w:rsid w:val="006B0C41"/>
    <w:rsid w:val="006B1737"/>
    <w:rsid w:val="006B2C00"/>
    <w:rsid w:val="006C0C3C"/>
    <w:rsid w:val="006C5000"/>
    <w:rsid w:val="006C5BE6"/>
    <w:rsid w:val="006D2108"/>
    <w:rsid w:val="006D6734"/>
    <w:rsid w:val="006E6B8D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47858"/>
    <w:rsid w:val="00750FDC"/>
    <w:rsid w:val="007549EA"/>
    <w:rsid w:val="00767F13"/>
    <w:rsid w:val="00770038"/>
    <w:rsid w:val="00774441"/>
    <w:rsid w:val="00776C1F"/>
    <w:rsid w:val="00782DF6"/>
    <w:rsid w:val="00787EDE"/>
    <w:rsid w:val="007A4920"/>
    <w:rsid w:val="007A56C2"/>
    <w:rsid w:val="007A757A"/>
    <w:rsid w:val="007B1B75"/>
    <w:rsid w:val="007F7D46"/>
    <w:rsid w:val="0080020D"/>
    <w:rsid w:val="00800AD8"/>
    <w:rsid w:val="0080286F"/>
    <w:rsid w:val="00820932"/>
    <w:rsid w:val="008233F8"/>
    <w:rsid w:val="00834670"/>
    <w:rsid w:val="008443CC"/>
    <w:rsid w:val="0084710D"/>
    <w:rsid w:val="0084763E"/>
    <w:rsid w:val="00872344"/>
    <w:rsid w:val="0087242C"/>
    <w:rsid w:val="00877C0A"/>
    <w:rsid w:val="00877F81"/>
    <w:rsid w:val="00885CB4"/>
    <w:rsid w:val="008932FB"/>
    <w:rsid w:val="00893512"/>
    <w:rsid w:val="00896275"/>
    <w:rsid w:val="00896CC9"/>
    <w:rsid w:val="008A4B69"/>
    <w:rsid w:val="008A5A25"/>
    <w:rsid w:val="008B3CA9"/>
    <w:rsid w:val="008B7188"/>
    <w:rsid w:val="008B7A6B"/>
    <w:rsid w:val="008C16D2"/>
    <w:rsid w:val="008D185B"/>
    <w:rsid w:val="008E0E66"/>
    <w:rsid w:val="008E2603"/>
    <w:rsid w:val="008E4BA4"/>
    <w:rsid w:val="0090041C"/>
    <w:rsid w:val="0090157B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024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6BA"/>
    <w:rsid w:val="00A117FB"/>
    <w:rsid w:val="00A124AB"/>
    <w:rsid w:val="00A22FEF"/>
    <w:rsid w:val="00A31CD8"/>
    <w:rsid w:val="00A32993"/>
    <w:rsid w:val="00A35886"/>
    <w:rsid w:val="00A439C3"/>
    <w:rsid w:val="00A43D09"/>
    <w:rsid w:val="00A561FF"/>
    <w:rsid w:val="00A57C64"/>
    <w:rsid w:val="00A62278"/>
    <w:rsid w:val="00A666A4"/>
    <w:rsid w:val="00A73422"/>
    <w:rsid w:val="00A762FE"/>
    <w:rsid w:val="00A80B0A"/>
    <w:rsid w:val="00A81C67"/>
    <w:rsid w:val="00A83630"/>
    <w:rsid w:val="00A93034"/>
    <w:rsid w:val="00A9751A"/>
    <w:rsid w:val="00AA72B4"/>
    <w:rsid w:val="00AB5AB6"/>
    <w:rsid w:val="00AD171E"/>
    <w:rsid w:val="00AE5FC7"/>
    <w:rsid w:val="00B05CE4"/>
    <w:rsid w:val="00B11F2F"/>
    <w:rsid w:val="00B1432A"/>
    <w:rsid w:val="00B167FA"/>
    <w:rsid w:val="00B2265C"/>
    <w:rsid w:val="00B44D15"/>
    <w:rsid w:val="00B632E3"/>
    <w:rsid w:val="00B8504B"/>
    <w:rsid w:val="00B92801"/>
    <w:rsid w:val="00BA319B"/>
    <w:rsid w:val="00BA4216"/>
    <w:rsid w:val="00BB6E01"/>
    <w:rsid w:val="00BC0F17"/>
    <w:rsid w:val="00BC3564"/>
    <w:rsid w:val="00BC3D3C"/>
    <w:rsid w:val="00BC4694"/>
    <w:rsid w:val="00BD7E1D"/>
    <w:rsid w:val="00BE438F"/>
    <w:rsid w:val="00BF09AB"/>
    <w:rsid w:val="00BF2BDC"/>
    <w:rsid w:val="00C02664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149E"/>
    <w:rsid w:val="00C92445"/>
    <w:rsid w:val="00C941DA"/>
    <w:rsid w:val="00C959CA"/>
    <w:rsid w:val="00C9601E"/>
    <w:rsid w:val="00CA1D9E"/>
    <w:rsid w:val="00CB7341"/>
    <w:rsid w:val="00CB7D50"/>
    <w:rsid w:val="00CC2468"/>
    <w:rsid w:val="00CC557E"/>
    <w:rsid w:val="00CC6440"/>
    <w:rsid w:val="00CD36F7"/>
    <w:rsid w:val="00CF1CEE"/>
    <w:rsid w:val="00CF481B"/>
    <w:rsid w:val="00CF69B5"/>
    <w:rsid w:val="00D00E7F"/>
    <w:rsid w:val="00D10053"/>
    <w:rsid w:val="00D24962"/>
    <w:rsid w:val="00D2579C"/>
    <w:rsid w:val="00D347C5"/>
    <w:rsid w:val="00D34CF7"/>
    <w:rsid w:val="00D566C4"/>
    <w:rsid w:val="00D64434"/>
    <w:rsid w:val="00D73212"/>
    <w:rsid w:val="00D81F01"/>
    <w:rsid w:val="00D84D50"/>
    <w:rsid w:val="00D93296"/>
    <w:rsid w:val="00D954D3"/>
    <w:rsid w:val="00DA034B"/>
    <w:rsid w:val="00DA0FED"/>
    <w:rsid w:val="00DA558F"/>
    <w:rsid w:val="00DB0AE2"/>
    <w:rsid w:val="00DC41EB"/>
    <w:rsid w:val="00DC76CE"/>
    <w:rsid w:val="00DD0AC7"/>
    <w:rsid w:val="00DD149A"/>
    <w:rsid w:val="00DE0EFC"/>
    <w:rsid w:val="00DF1101"/>
    <w:rsid w:val="00DF2832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97795"/>
    <w:rsid w:val="00EA061B"/>
    <w:rsid w:val="00EA2410"/>
    <w:rsid w:val="00EA3595"/>
    <w:rsid w:val="00EA5B39"/>
    <w:rsid w:val="00EB13D1"/>
    <w:rsid w:val="00EC77FA"/>
    <w:rsid w:val="00ED0CD4"/>
    <w:rsid w:val="00ED123E"/>
    <w:rsid w:val="00ED20E6"/>
    <w:rsid w:val="00ED579C"/>
    <w:rsid w:val="00EE6A3A"/>
    <w:rsid w:val="00EE74B6"/>
    <w:rsid w:val="00EF1C1E"/>
    <w:rsid w:val="00EF4AA5"/>
    <w:rsid w:val="00EF5C86"/>
    <w:rsid w:val="00F00F24"/>
    <w:rsid w:val="00F01111"/>
    <w:rsid w:val="00F01329"/>
    <w:rsid w:val="00F0194F"/>
    <w:rsid w:val="00F06804"/>
    <w:rsid w:val="00F06F56"/>
    <w:rsid w:val="00F139B3"/>
    <w:rsid w:val="00F15D7E"/>
    <w:rsid w:val="00F31B5C"/>
    <w:rsid w:val="00F36949"/>
    <w:rsid w:val="00F46B3B"/>
    <w:rsid w:val="00F66E71"/>
    <w:rsid w:val="00F67EC4"/>
    <w:rsid w:val="00F7167D"/>
    <w:rsid w:val="00F724C5"/>
    <w:rsid w:val="00F731D7"/>
    <w:rsid w:val="00F76001"/>
    <w:rsid w:val="00F85200"/>
    <w:rsid w:val="00F86DFE"/>
    <w:rsid w:val="00F931AB"/>
    <w:rsid w:val="00FA186F"/>
    <w:rsid w:val="00FB4B97"/>
    <w:rsid w:val="00FB4F92"/>
    <w:rsid w:val="00FB5F16"/>
    <w:rsid w:val="00FC3643"/>
    <w:rsid w:val="00FD264A"/>
    <w:rsid w:val="00FF11FC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link w:val="a4"/>
    <w:uiPriority w:val="1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Normal (Web)"/>
    <w:basedOn w:val="a"/>
    <w:link w:val="aa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link w:val="a9"/>
    <w:locked/>
    <w:rsid w:val="00520BEA"/>
    <w:rPr>
      <w:sz w:val="24"/>
      <w:szCs w:val="24"/>
      <w:lang w:val="uk-UA"/>
    </w:rPr>
  </w:style>
  <w:style w:type="paragraph" w:styleId="ab">
    <w:name w:val="Body Text Indent"/>
    <w:basedOn w:val="a"/>
    <w:link w:val="ac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d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e">
    <w:name w:val="Абзац списка Знак"/>
    <w:aliases w:val="AC List 01 Знак"/>
    <w:link w:val="af"/>
    <w:uiPriority w:val="34"/>
    <w:locked/>
    <w:rsid w:val="007379DE"/>
    <w:rPr>
      <w:sz w:val="24"/>
      <w:szCs w:val="24"/>
      <w:lang w:val="uk-UA"/>
    </w:rPr>
  </w:style>
  <w:style w:type="paragraph" w:styleId="af">
    <w:name w:val="List Paragraph"/>
    <w:aliases w:val="AC List 01"/>
    <w:basedOn w:val="a"/>
    <w:link w:val="ae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0">
    <w:name w:val="Subtle Reference"/>
    <w:uiPriority w:val="31"/>
    <w:qFormat/>
    <w:rsid w:val="007379DE"/>
    <w:rPr>
      <w:smallCaps/>
      <w:color w:val="5A5A5A"/>
    </w:rPr>
  </w:style>
  <w:style w:type="paragraph" w:styleId="af1">
    <w:name w:val="Balloon Text"/>
    <w:basedOn w:val="a"/>
    <w:link w:val="af2"/>
    <w:rsid w:val="001B13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3">
    <w:name w:val="Hyperlink"/>
    <w:rsid w:val="00A93034"/>
    <w:rPr>
      <w:color w:val="0000FF"/>
      <w:u w:val="single"/>
    </w:rPr>
  </w:style>
  <w:style w:type="paragraph" w:styleId="af4">
    <w:name w:val="Body Text"/>
    <w:basedOn w:val="a"/>
    <w:link w:val="af5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5">
    <w:name w:val="Основной текст Знак"/>
    <w:link w:val="af4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6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7">
    <w:name w:val="footer"/>
    <w:basedOn w:val="a"/>
    <w:link w:val="af8"/>
    <w:uiPriority w:val="99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8">
    <w:name w:val="Нижний колонтитул Знак"/>
    <w:link w:val="af7"/>
    <w:uiPriority w:val="99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9">
    <w:name w:val="page number"/>
    <w:rsid w:val="00A93034"/>
  </w:style>
  <w:style w:type="paragraph" w:customStyle="1" w:styleId="afa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b">
    <w:name w:val="header"/>
    <w:basedOn w:val="a"/>
    <w:link w:val="afc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c">
    <w:name w:val="Верхний колонтитул Знак"/>
    <w:link w:val="afb"/>
    <w:rsid w:val="00A93034"/>
    <w:rPr>
      <w:sz w:val="24"/>
      <w:szCs w:val="24"/>
      <w:lang w:val="ru-RU" w:eastAsia="ru-RU"/>
    </w:rPr>
  </w:style>
  <w:style w:type="character" w:styleId="afd">
    <w:name w:val="annotation reference"/>
    <w:rsid w:val="00A93034"/>
    <w:rPr>
      <w:sz w:val="16"/>
      <w:szCs w:val="16"/>
    </w:rPr>
  </w:style>
  <w:style w:type="paragraph" w:styleId="afe">
    <w:name w:val="annotation text"/>
    <w:basedOn w:val="a"/>
    <w:link w:val="aff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f">
    <w:name w:val="Текст примечания Знак"/>
    <w:link w:val="afe"/>
    <w:rsid w:val="00A93034"/>
    <w:rPr>
      <w:rFonts w:ascii="Calibri" w:eastAsia="Calibri" w:hAnsi="Calibri"/>
      <w:lang w:val="ru-RU" w:eastAsia="ru-RU"/>
    </w:rPr>
  </w:style>
  <w:style w:type="paragraph" w:styleId="aff0">
    <w:name w:val="annotation subject"/>
    <w:basedOn w:val="afe"/>
    <w:next w:val="afe"/>
    <w:link w:val="aff1"/>
    <w:rsid w:val="00A93034"/>
    <w:rPr>
      <w:b/>
      <w:bCs/>
    </w:rPr>
  </w:style>
  <w:style w:type="character" w:customStyle="1" w:styleId="aff1">
    <w:name w:val="Тема примечания Знак"/>
    <w:link w:val="aff0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2">
    <w:name w:val="FollowedHyperlink"/>
    <w:rsid w:val="00A93034"/>
    <w:rPr>
      <w:color w:val="800080"/>
      <w:u w:val="single"/>
    </w:rPr>
  </w:style>
  <w:style w:type="character" w:styleId="aff3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4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5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5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6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7">
    <w:basedOn w:val="a"/>
    <w:next w:val="a9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  <w:style w:type="paragraph" w:customStyle="1" w:styleId="aff8">
    <w:basedOn w:val="a"/>
    <w:next w:val="a9"/>
    <w:rsid w:val="003762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9">
    <w:basedOn w:val="a"/>
    <w:next w:val="a9"/>
    <w:rsid w:val="009015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0157B"/>
    <w:rPr>
      <w:rFonts w:ascii="Calibri" w:eastAsia="Calibri" w:hAnsi="Calibri"/>
      <w:sz w:val="22"/>
      <w:szCs w:val="22"/>
      <w:lang w:eastAsia="en-US"/>
    </w:rPr>
  </w:style>
  <w:style w:type="character" w:customStyle="1" w:styleId="normalchar">
    <w:name w:val="normal__char"/>
    <w:rsid w:val="001F6290"/>
  </w:style>
  <w:style w:type="paragraph" w:customStyle="1" w:styleId="affa">
    <w:basedOn w:val="a"/>
    <w:next w:val="a7"/>
    <w:qFormat/>
    <w:rsid w:val="001B0845"/>
    <w:pPr>
      <w:jc w:val="center"/>
    </w:pPr>
    <w:rPr>
      <w:rFonts w:ascii="Times New Roman CYR" w:eastAsia="Calibri" w:hAnsi="Times New Roman CYR" w:cs="Times New Roman CYR"/>
      <w:b/>
      <w:bCs/>
      <w:sz w:val="32"/>
      <w:szCs w:val="32"/>
      <w:lang w:val="en-US"/>
    </w:rPr>
  </w:style>
  <w:style w:type="character" w:customStyle="1" w:styleId="affb">
    <w:name w:val="Заголовок Знак"/>
    <w:uiPriority w:val="10"/>
    <w:rsid w:val="001B0845"/>
    <w:rPr>
      <w:rFonts w:ascii="Calibri Light" w:eastAsia="Times New Roman" w:hAnsi="Calibri Light" w:cs="Times New Roman"/>
      <w:spacing w:val="-10"/>
      <w:kern w:val="28"/>
      <w:sz w:val="56"/>
      <w:szCs w:val="56"/>
      <w:lang w:val="uk-UA" w:eastAsia="en-US"/>
    </w:rPr>
  </w:style>
  <w:style w:type="paragraph" w:customStyle="1" w:styleId="affc">
    <w:basedOn w:val="a"/>
    <w:next w:val="a9"/>
    <w:rsid w:val="001F2E7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Средняя сетка 21"/>
    <w:uiPriority w:val="1"/>
    <w:qFormat/>
    <w:rsid w:val="00D954D3"/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C562-0689-49DD-882F-4411633F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2022-10-05T11:22:00Z</cp:lastPrinted>
  <dcterms:created xsi:type="dcterms:W3CDTF">2022-10-07T06:45:00Z</dcterms:created>
  <dcterms:modified xsi:type="dcterms:W3CDTF">2022-10-07T06:45:00Z</dcterms:modified>
</cp:coreProperties>
</file>