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4B" w:rsidRPr="00DA034B" w:rsidRDefault="00F825A9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bCs/>
          <w:sz w:val="28"/>
          <w:szCs w:val="28"/>
        </w:rPr>
      </w:pPr>
      <w:r w:rsidRPr="00F825A9">
        <w:rPr>
          <w:rFonts w:eastAsia="MS Mincho"/>
          <w:b/>
          <w:bCs/>
          <w:sz w:val="28"/>
          <w:szCs w:val="28"/>
        </w:rPr>
        <w:t>33180000-5 Апаратура для підтримування фізіологічних функцій організму (Витратні матеріали для гемодіалізу, 13 найменувань)</w:t>
      </w:r>
    </w:p>
    <w:p w:rsidR="00352A71" w:rsidRDefault="00352A71" w:rsidP="00352A71">
      <w:pPr>
        <w:ind w:firstLine="720"/>
        <w:jc w:val="both"/>
        <w:rPr>
          <w:rFonts w:eastAsia="MS Mincho"/>
          <w:bCs/>
          <w:iCs/>
          <w:sz w:val="28"/>
          <w:szCs w:val="28"/>
        </w:rPr>
      </w:pPr>
    </w:p>
    <w:p w:rsidR="00352A71" w:rsidRPr="00264562" w:rsidRDefault="00352A71" w:rsidP="00264562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264562">
        <w:rPr>
          <w:rFonts w:eastAsia="MS Mincho"/>
          <w:b/>
          <w:sz w:val="28"/>
          <w:szCs w:val="28"/>
          <w:u w:val="single"/>
        </w:rPr>
        <w:t xml:space="preserve">1. </w:t>
      </w:r>
      <w:r w:rsidRPr="00264562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FE703B">
        <w:rPr>
          <w:b/>
          <w:sz w:val="28"/>
          <w:szCs w:val="28"/>
          <w:u w:val="single"/>
          <w:shd w:val="clear" w:color="auto" w:fill="FFFFFF"/>
          <w:lang w:val="ru-RU"/>
        </w:rPr>
        <w:t>**</w:t>
      </w:r>
      <w:r w:rsidRPr="00264562">
        <w:rPr>
          <w:b/>
          <w:sz w:val="28"/>
          <w:szCs w:val="28"/>
          <w:u w:val="single"/>
          <w:shd w:val="clear" w:color="auto" w:fill="FFFFFF"/>
        </w:rPr>
        <w:t>:</w:t>
      </w:r>
    </w:p>
    <w:p w:rsidR="00D173EC" w:rsidRPr="00D173EC" w:rsidRDefault="00D173EC" w:rsidP="00D173EC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>Витратні матеріали для гемодіалізу, 13 найменувань, зокрема: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 xml:space="preserve">найменування 1 - капілярний діалізатор, площею 1,6 - 1,8 м2 (35004 </w:t>
      </w:r>
      <w:proofErr w:type="spellStart"/>
      <w:r w:rsidRPr="00D173EC">
        <w:rPr>
          <w:rFonts w:eastAsia="Calibri"/>
          <w:sz w:val="24"/>
          <w:szCs w:val="24"/>
          <w:lang w:eastAsia="en-US"/>
        </w:rPr>
        <w:t>Гемодіалізний</w:t>
      </w:r>
      <w:proofErr w:type="spellEnd"/>
      <w:r w:rsidRPr="00D173EC">
        <w:rPr>
          <w:rFonts w:eastAsia="Calibri"/>
          <w:sz w:val="24"/>
          <w:szCs w:val="24"/>
          <w:lang w:eastAsia="en-US"/>
        </w:rPr>
        <w:t xml:space="preserve"> діалізатор, порожнисто-волоконний) - 1092 шт.;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 xml:space="preserve">найменування 2 - капілярний діалізатор, площею 1,3 - 1,5 м2 (35004 </w:t>
      </w:r>
      <w:proofErr w:type="spellStart"/>
      <w:r w:rsidRPr="00D173EC">
        <w:rPr>
          <w:rFonts w:eastAsia="Calibri"/>
          <w:sz w:val="24"/>
          <w:szCs w:val="24"/>
          <w:lang w:eastAsia="en-US"/>
        </w:rPr>
        <w:t>Гемодіалізний</w:t>
      </w:r>
      <w:proofErr w:type="spellEnd"/>
      <w:r w:rsidRPr="00D173EC">
        <w:rPr>
          <w:rFonts w:eastAsia="Calibri"/>
          <w:sz w:val="24"/>
          <w:szCs w:val="24"/>
          <w:lang w:eastAsia="en-US"/>
        </w:rPr>
        <w:t xml:space="preserve"> діалізатор, порожнисто-волоконний) - 312 шт.;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 xml:space="preserve">найменування 3 - капілярний діалізатор, площею 1,6 - 1,8 м2 (35004 </w:t>
      </w:r>
      <w:proofErr w:type="spellStart"/>
      <w:r w:rsidRPr="00D173EC">
        <w:rPr>
          <w:rFonts w:eastAsia="Calibri"/>
          <w:sz w:val="24"/>
          <w:szCs w:val="24"/>
          <w:lang w:eastAsia="en-US"/>
        </w:rPr>
        <w:t>Гемодіалізний</w:t>
      </w:r>
      <w:proofErr w:type="spellEnd"/>
      <w:r w:rsidRPr="00D173EC">
        <w:rPr>
          <w:rFonts w:eastAsia="Calibri"/>
          <w:sz w:val="24"/>
          <w:szCs w:val="24"/>
          <w:lang w:eastAsia="en-US"/>
        </w:rPr>
        <w:t xml:space="preserve"> діалізатор, порожнисто-волоконний) - 3588 шт.;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 xml:space="preserve">найменування 4 - капілярний діалізатор, площею 1,9 - 2,1 м2 (35004 </w:t>
      </w:r>
      <w:proofErr w:type="spellStart"/>
      <w:r w:rsidRPr="00D173EC">
        <w:rPr>
          <w:rFonts w:eastAsia="Calibri"/>
          <w:sz w:val="24"/>
          <w:szCs w:val="24"/>
          <w:lang w:eastAsia="en-US"/>
        </w:rPr>
        <w:t>Гемодіалізний</w:t>
      </w:r>
      <w:proofErr w:type="spellEnd"/>
      <w:r w:rsidRPr="00D173EC">
        <w:rPr>
          <w:rFonts w:eastAsia="Calibri"/>
          <w:sz w:val="24"/>
          <w:szCs w:val="24"/>
          <w:lang w:eastAsia="en-US"/>
        </w:rPr>
        <w:t xml:space="preserve"> діалізатор, порожнисто-волоконний) - 3120 шт.;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 xml:space="preserve">найменування 5 - </w:t>
      </w:r>
      <w:proofErr w:type="spellStart"/>
      <w:r w:rsidRPr="00D173EC">
        <w:rPr>
          <w:rFonts w:eastAsia="Calibri"/>
          <w:sz w:val="24"/>
          <w:szCs w:val="24"/>
          <w:lang w:eastAsia="en-US"/>
        </w:rPr>
        <w:t>кровопровідна</w:t>
      </w:r>
      <w:proofErr w:type="spellEnd"/>
      <w:r w:rsidRPr="00D173EC">
        <w:rPr>
          <w:rFonts w:eastAsia="Calibri"/>
          <w:sz w:val="24"/>
          <w:szCs w:val="24"/>
          <w:lang w:eastAsia="en-US"/>
        </w:rPr>
        <w:t xml:space="preserve"> магістраль до діалізатора (артерія-вена) (34999 Набір трубок для гемодіалізу, одноразового застосування) - 8112 шт.;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>найменування 6 - фістульна голка венозна (32111 Голка фістульна, одноразового використання) - 8112 шт.;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>найменування 7 - фістульна голка артеріальна (32111 Голка фістульна, одноразового використання) - 8112 шт.;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 xml:space="preserve">найменування 8 - порошковий картридж основного компоненту </w:t>
      </w:r>
      <w:proofErr w:type="spellStart"/>
      <w:r w:rsidRPr="00D173EC">
        <w:rPr>
          <w:rFonts w:eastAsia="Calibri"/>
          <w:sz w:val="24"/>
          <w:szCs w:val="24"/>
          <w:lang w:eastAsia="en-US"/>
        </w:rPr>
        <w:t>BiCart</w:t>
      </w:r>
      <w:proofErr w:type="spellEnd"/>
      <w:r w:rsidRPr="00D173EC">
        <w:rPr>
          <w:rFonts w:eastAsia="Calibri"/>
          <w:sz w:val="24"/>
          <w:szCs w:val="24"/>
          <w:lang w:eastAsia="en-US"/>
        </w:rPr>
        <w:t>, або еквівалент, з вмістом сухого бікарбонату від 650 г (58905 Картридж з карбонатом натрію для очищення системи гемодіалізу) - 8112 шт.;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 xml:space="preserve">найменування 9 - картридж для </w:t>
      </w:r>
      <w:proofErr w:type="spellStart"/>
      <w:r w:rsidRPr="00D173EC">
        <w:rPr>
          <w:rFonts w:eastAsia="Calibri"/>
          <w:sz w:val="24"/>
          <w:szCs w:val="24"/>
          <w:lang w:eastAsia="en-US"/>
        </w:rPr>
        <w:t>депротеїнізації</w:t>
      </w:r>
      <w:proofErr w:type="spellEnd"/>
      <w:r w:rsidRPr="00D173EC">
        <w:rPr>
          <w:rFonts w:eastAsia="Calibri"/>
          <w:sz w:val="24"/>
          <w:szCs w:val="24"/>
          <w:lang w:eastAsia="en-US"/>
        </w:rPr>
        <w:t xml:space="preserve"> CleanCart-A (58905 Картридж з карбонатом натрію для очищення системи гемодіалізу) - 670 шт.; 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>найменування 10 - картридж для декальцинації CleanCart-С (58906 Картридж з лимонною кислотою для очищення системи гемодіалізу) - 4056 шт.;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 xml:space="preserve">найменування 11 - рідкий концентрат кислотного компоненту </w:t>
      </w:r>
      <w:proofErr w:type="spellStart"/>
      <w:r w:rsidRPr="00D173EC">
        <w:rPr>
          <w:rFonts w:eastAsia="Calibri"/>
          <w:sz w:val="24"/>
          <w:szCs w:val="24"/>
          <w:lang w:eastAsia="en-US"/>
        </w:rPr>
        <w:t>діалізуючого</w:t>
      </w:r>
      <w:proofErr w:type="spellEnd"/>
      <w:r w:rsidRPr="00D173EC">
        <w:rPr>
          <w:rFonts w:eastAsia="Calibri"/>
          <w:sz w:val="24"/>
          <w:szCs w:val="24"/>
          <w:lang w:eastAsia="en-US"/>
        </w:rPr>
        <w:t xml:space="preserve"> розчину без вмісту глюкози (35849 Концентрат гемодіалізу) - 29000 л;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 xml:space="preserve">найменування 12 - рідкий концентрат кислотного компоненту </w:t>
      </w:r>
      <w:proofErr w:type="spellStart"/>
      <w:r w:rsidRPr="00D173EC">
        <w:rPr>
          <w:rFonts w:eastAsia="Calibri"/>
          <w:sz w:val="24"/>
          <w:szCs w:val="24"/>
          <w:lang w:eastAsia="en-US"/>
        </w:rPr>
        <w:t>діалізуючого</w:t>
      </w:r>
      <w:proofErr w:type="spellEnd"/>
      <w:r w:rsidRPr="00D173EC">
        <w:rPr>
          <w:rFonts w:eastAsia="Calibri"/>
          <w:sz w:val="24"/>
          <w:szCs w:val="24"/>
          <w:lang w:eastAsia="en-US"/>
        </w:rPr>
        <w:t xml:space="preserve"> розчину із вмістом глюкози (35849 Концентрат гемодіалізу) - </w:t>
      </w:r>
      <w:r w:rsidR="00A53845" w:rsidRPr="00A53845">
        <w:rPr>
          <w:rFonts w:eastAsia="Calibri"/>
          <w:sz w:val="24"/>
          <w:szCs w:val="24"/>
          <w:lang w:val="ru-RU" w:eastAsia="en-US"/>
        </w:rPr>
        <w:t>8580</w:t>
      </w:r>
      <w:r w:rsidRPr="00D173EC">
        <w:rPr>
          <w:rFonts w:eastAsia="Calibri"/>
          <w:sz w:val="24"/>
          <w:szCs w:val="24"/>
          <w:lang w:eastAsia="en-US"/>
        </w:rPr>
        <w:t xml:space="preserve"> л;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D173EC">
        <w:rPr>
          <w:rFonts w:eastAsia="Calibri"/>
          <w:sz w:val="24"/>
          <w:szCs w:val="24"/>
          <w:lang w:eastAsia="en-US"/>
        </w:rPr>
        <w:t xml:space="preserve">найменування 13 - фільтр для приготування ультра чистого </w:t>
      </w:r>
      <w:proofErr w:type="spellStart"/>
      <w:r w:rsidRPr="00D173EC">
        <w:rPr>
          <w:rFonts w:eastAsia="Calibri"/>
          <w:sz w:val="24"/>
          <w:szCs w:val="24"/>
          <w:lang w:eastAsia="en-US"/>
        </w:rPr>
        <w:t>діалізуючого</w:t>
      </w:r>
      <w:proofErr w:type="spellEnd"/>
      <w:r w:rsidRPr="00D173EC">
        <w:rPr>
          <w:rFonts w:eastAsia="Calibri"/>
          <w:sz w:val="24"/>
          <w:szCs w:val="24"/>
          <w:lang w:eastAsia="en-US"/>
        </w:rPr>
        <w:t xml:space="preserve"> розчину (47739 Фільтр для очистки діалізату від пірогенів для системи гемодіалізу) - 160 шт.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D173EC">
        <w:rPr>
          <w:rFonts w:eastAsia="Calibri"/>
          <w:i/>
          <w:iCs/>
          <w:sz w:val="24"/>
          <w:szCs w:val="24"/>
          <w:lang w:eastAsia="en-US"/>
        </w:rPr>
        <w:t>Вимоги:</w:t>
      </w:r>
    </w:p>
    <w:p w:rsidR="00D173EC" w:rsidRPr="00D173EC" w:rsidRDefault="00D173EC" w:rsidP="00D173EC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8"/>
        <w:gridCol w:w="3041"/>
      </w:tblGrid>
      <w:tr w:rsidR="00D173EC" w:rsidRPr="00D173EC" w:rsidTr="002D43A8">
        <w:trPr>
          <w:trHeight w:val="39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Характеристика капілярного діалізатору площею 1,6 - 1,8 м</w:t>
            </w:r>
            <w:r w:rsidRPr="00D173EC">
              <w:rPr>
                <w:rFonts w:eastAsia="SimSu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D173EC" w:rsidRPr="00D173EC" w:rsidTr="002D43A8">
        <w:trPr>
          <w:trHeight w:val="39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Мембрана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Синтетична</w:t>
            </w:r>
          </w:p>
        </w:tc>
      </w:tr>
      <w:tr w:rsidR="00D173EC" w:rsidRPr="00D173EC" w:rsidTr="002D43A8">
        <w:trPr>
          <w:trHeight w:val="39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Коефіцієнт ультрафільтрації (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мл\год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.*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мм.рт.ст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Від 10 до 20</w:t>
            </w:r>
          </w:p>
        </w:tc>
      </w:tr>
      <w:tr w:rsidR="00D173EC" w:rsidRPr="00D173EC" w:rsidTr="002D43A8">
        <w:trPr>
          <w:trHeight w:val="39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Стерилізація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Пара або опромінення</w:t>
            </w:r>
          </w:p>
        </w:tc>
      </w:tr>
      <w:tr w:rsidR="00D173EC" w:rsidRPr="00D173EC" w:rsidTr="002D43A8">
        <w:trPr>
          <w:trHeight w:val="39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Характеристика капілярного діалізатору площею 1,3 - 1,5 м</w:t>
            </w:r>
            <w:r w:rsidRPr="00D173EC">
              <w:rPr>
                <w:rFonts w:eastAsia="SimSun"/>
                <w:sz w:val="24"/>
                <w:szCs w:val="24"/>
                <w:vertAlign w:val="superscript"/>
              </w:rPr>
              <w:t>2</w:t>
            </w:r>
            <w:r w:rsidRPr="00D173EC">
              <w:rPr>
                <w:rFonts w:eastAsia="SimSun"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Вимога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Мембрана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Синтетична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Коефіцієнт ультрафільтрації (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мл\год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.*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мм.рт.ст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.)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Від 40 до 50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Стерилізація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Пара або опромінення</w:t>
            </w:r>
          </w:p>
        </w:tc>
      </w:tr>
      <w:tr w:rsidR="00D173EC" w:rsidRPr="00D173EC" w:rsidTr="002D43A8">
        <w:trPr>
          <w:trHeight w:val="39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Характеристика капілярного діалізатору площею 1,6 - 1,8 м</w:t>
            </w:r>
            <w:r w:rsidRPr="00D173EC">
              <w:rPr>
                <w:rFonts w:eastAsia="SimSu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Вимога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Мембрана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Синтетична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Коефіцієнт ультрафільтрації (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мл\год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.*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мм.рт.ст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.)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Від 45 до 55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Стерилізація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Пара або опромінення</w:t>
            </w:r>
          </w:p>
        </w:tc>
      </w:tr>
      <w:tr w:rsidR="00D173EC" w:rsidRPr="00D173EC" w:rsidTr="002D43A8">
        <w:trPr>
          <w:trHeight w:val="39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lastRenderedPageBreak/>
              <w:t>Характеристика капілярного діалізатору площею 1,9 - 2,1 м</w:t>
            </w:r>
            <w:r w:rsidRPr="00D173EC">
              <w:rPr>
                <w:rFonts w:eastAsia="SimSu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Вимога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Мембрана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Синтетична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Коефіцієнт ультрафільтрації (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мл\год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.*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мм.рт.ст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.)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Від 55 до 65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Стерилізація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Пара або опромінення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1.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Кровопровідна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магістраль до діалізатора (артерія-вена):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Вимога</w:t>
            </w:r>
          </w:p>
        </w:tc>
      </w:tr>
      <w:tr w:rsidR="00D173EC" w:rsidRPr="00D173EC" w:rsidTr="002D43A8">
        <w:trPr>
          <w:trHeight w:val="808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1.1.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Кровопровідні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магістралі повинні бути сумісними з апаратом для гемодіалізу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Artis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, виробництва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Gambro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, або еквівалент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proofErr w:type="spellStart"/>
            <w:r w:rsidRPr="00D173EC">
              <w:rPr>
                <w:rFonts w:eastAsia="SimSun"/>
                <w:sz w:val="24"/>
                <w:szCs w:val="24"/>
              </w:rPr>
              <w:t>Cумісність</w:t>
            </w:r>
            <w:proofErr w:type="spellEnd"/>
          </w:p>
        </w:tc>
      </w:tr>
      <w:tr w:rsidR="00D173EC" w:rsidRPr="00D173EC" w:rsidTr="002D43A8">
        <w:trPr>
          <w:trHeight w:val="822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1.2.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Кровопровідні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магістралі повинні мати артеріальну та венозну частини з різним кольоровим маркуванням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конекторів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для  приєднання до діалізаторів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Наявність</w:t>
            </w:r>
          </w:p>
        </w:tc>
      </w:tr>
      <w:tr w:rsidR="00D173EC" w:rsidRPr="00D173EC" w:rsidTr="002D43A8">
        <w:trPr>
          <w:trHeight w:val="645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1.3. Венозний сегмент повинен мати комірку, яка запобігає потраплянню пухирців повітря до кровотоку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Наявність</w:t>
            </w:r>
          </w:p>
        </w:tc>
      </w:tr>
      <w:tr w:rsidR="00D173EC" w:rsidRPr="00D173EC" w:rsidTr="002D43A8">
        <w:trPr>
          <w:trHeight w:val="645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1.4. Артеріальний сегмент повинен мати магістраль для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інфузії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гепарина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Наявність</w:t>
            </w:r>
          </w:p>
        </w:tc>
      </w:tr>
      <w:tr w:rsidR="00D173EC" w:rsidRPr="00D173EC" w:rsidTr="002D43A8">
        <w:trPr>
          <w:trHeight w:val="645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1.5. З’єднання 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конектора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з фістульною голкою за допомогою ін`єкційного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порта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типу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Луер-Локк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Наявність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2. Фістульна голка венозна: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  <w:tab w:val="left" w:pos="7125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2.1. Венозна голка повинна мати боковий зріз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  <w:tab w:val="left" w:pos="7125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D173EC" w:rsidRPr="00D173EC" w:rsidTr="002D43A8">
        <w:trPr>
          <w:trHeight w:val="543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2.2. Венозна голка повинна мати пристрій, що вказує на положення бокового зрізу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D173EC" w:rsidRPr="00D173EC" w:rsidTr="002D43A8">
        <w:trPr>
          <w:trHeight w:val="267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2.3. Венозна голка повинна мати  кольорове маркування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0"/>
              </w:tabs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2.4. Обертові “крильця” для фіксування  на шкірі 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D173EC" w:rsidRPr="00D173EC" w:rsidTr="002D43A8">
        <w:trPr>
          <w:trHeight w:val="347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2.5. Гнучкий сегмент венозної голки повинен мати затискач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2.6. Діаметр голки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Від 1,75 мм до 1,85 мм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2.7. Діаметр голки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Від 1,55 мм до 1,65 мм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2.8. Діаметр голки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Від 1,45 мм до 1,55 мм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2.9. Довжина металевого сегменту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Від 20 до 30 мм</w:t>
            </w:r>
          </w:p>
        </w:tc>
      </w:tr>
      <w:tr w:rsidR="00D173EC" w:rsidRPr="00D173EC" w:rsidTr="002D43A8">
        <w:trPr>
          <w:trHeight w:val="645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D173EC">
              <w:rPr>
                <w:rFonts w:eastAsia="SimSun"/>
                <w:sz w:val="24"/>
                <w:szCs w:val="24"/>
                <w:lang w:eastAsia="zh-CN"/>
              </w:rPr>
              <w:t xml:space="preserve">2.10. Замовник за своїми потребами має право вибирати  з вищезазначених діаметрів голок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D173EC" w:rsidRPr="00D173EC" w:rsidTr="002D43A8">
        <w:trPr>
          <w:trHeight w:val="359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3. Фістульна голка артеріальна: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D173EC" w:rsidRPr="00D173EC" w:rsidTr="002D43A8">
        <w:trPr>
          <w:trHeight w:val="425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  <w:tab w:val="left" w:pos="7125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3.1. Артеріальна голка повинна мати боковий зріз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  <w:tab w:val="left" w:pos="7125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D173EC" w:rsidRPr="00D173EC" w:rsidTr="002D43A8">
        <w:trPr>
          <w:trHeight w:val="425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3.2. Артеріальна голка повинна мати пристрій, що вказує на положення бокового зрізу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D173EC" w:rsidRPr="00D173EC" w:rsidTr="002D43A8">
        <w:trPr>
          <w:trHeight w:val="425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3.3. Артеріальна голка повинна мати  кольорове маркування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0"/>
              </w:tabs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D173EC" w:rsidRPr="00D173EC" w:rsidTr="002D43A8">
        <w:trPr>
          <w:trHeight w:val="425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3.4. Обертові “крильця” для фіксування  на шкірі 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D173EC" w:rsidRPr="00D173EC" w:rsidTr="002D43A8">
        <w:trPr>
          <w:trHeight w:val="425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3.5. Гнучкий сегмент артеріальної голки повинен мати затискач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D173EC" w:rsidRPr="00D173EC" w:rsidTr="002D43A8">
        <w:trPr>
          <w:trHeight w:val="425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3.6. Діаметр голки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Від 1,75 мм до 1,85 мм</w:t>
            </w:r>
          </w:p>
        </w:tc>
      </w:tr>
      <w:tr w:rsidR="00D173EC" w:rsidRPr="00D173EC" w:rsidTr="002D43A8">
        <w:trPr>
          <w:trHeight w:val="425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3.7. Діаметр голки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Від 1,55 мм до 1,65 мм</w:t>
            </w:r>
          </w:p>
        </w:tc>
      </w:tr>
      <w:tr w:rsidR="00D173EC" w:rsidRPr="00D173EC" w:rsidTr="002D43A8">
        <w:trPr>
          <w:trHeight w:val="425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3.8. Діаметр голки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Від 1,45 мм до 1,55 мм</w:t>
            </w:r>
          </w:p>
        </w:tc>
      </w:tr>
      <w:tr w:rsidR="00D173EC" w:rsidRPr="00D173EC" w:rsidTr="002D43A8">
        <w:trPr>
          <w:trHeight w:val="425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3.9. Довжина металевого сегменту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Від 20 до 30 мм</w:t>
            </w:r>
          </w:p>
        </w:tc>
      </w:tr>
      <w:tr w:rsidR="00D173EC" w:rsidRPr="00D173EC" w:rsidTr="002D43A8">
        <w:trPr>
          <w:trHeight w:val="425"/>
          <w:jc w:val="center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D173EC">
              <w:rPr>
                <w:rFonts w:eastAsia="SimSun"/>
                <w:sz w:val="24"/>
                <w:szCs w:val="24"/>
                <w:lang w:eastAsia="zh-CN"/>
              </w:rPr>
              <w:lastRenderedPageBreak/>
              <w:t xml:space="preserve">3.10. Замовник за своїми потребами має право вибирати  з вищезазначених діаметрів голок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D173EC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D173EC" w:rsidRPr="00D173EC" w:rsidTr="002D43A8">
        <w:trPr>
          <w:trHeight w:val="645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4. Порошковий картридж основного компоненту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BiCart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, або еквівалент, з вмістом сухого бікарбонату від 650 г: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Вимога</w:t>
            </w:r>
          </w:p>
        </w:tc>
      </w:tr>
      <w:tr w:rsidR="00D173EC" w:rsidRPr="00D173EC" w:rsidTr="002D43A8">
        <w:trPr>
          <w:trHeight w:val="645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4.1. Повинен бути сумісним з апаратом для гемодіалізу та 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гемодіафільтрації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Artis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, виробництва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Gambro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, або еквівалент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Сумісність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sz w:val="24"/>
                <w:szCs w:val="24"/>
              </w:rPr>
              <w:t>4.2. Вміст сухого бікарбонату від 650 г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Наявність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5. Картридж для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депротеінізації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CleanCart-А: 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Вимога</w:t>
            </w:r>
          </w:p>
        </w:tc>
      </w:tr>
      <w:tr w:rsidR="00D173EC" w:rsidRPr="00D173EC" w:rsidTr="002D43A8">
        <w:trPr>
          <w:trHeight w:val="645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5.1. Повинен бути сумісний з апаратами, виробництва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Gambro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(типу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Artis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), або еквівалент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Сумісність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6. Картридж для декальцинації CleanCart-С: 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Вимога</w:t>
            </w:r>
          </w:p>
        </w:tc>
      </w:tr>
      <w:tr w:rsidR="00D173EC" w:rsidRPr="00D173EC" w:rsidTr="002D43A8">
        <w:trPr>
          <w:trHeight w:val="645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6.1. Повинен бути сумісний з апаратами, виробництва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Gambro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(типу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Artis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), або еквівалент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Сумісність</w:t>
            </w:r>
          </w:p>
        </w:tc>
      </w:tr>
      <w:tr w:rsidR="00D173EC" w:rsidRPr="00D173EC" w:rsidTr="002D43A8">
        <w:trPr>
          <w:trHeight w:val="645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7. Рідкий концентрат кислотного компоненту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діалізуючого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розчину без вмісту глюкози: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Вимога</w:t>
            </w:r>
          </w:p>
        </w:tc>
      </w:tr>
      <w:tr w:rsidR="00D173EC" w:rsidRPr="00D173EC" w:rsidTr="002D43A8">
        <w:trPr>
          <w:trHeight w:val="79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7.1. Готовий до використання рідкий концентрат кислотного компоненту для приготування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бікарбонатного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діалізуючого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розчину в ємностях від 8 до 12 літрів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Наявність</w:t>
            </w:r>
          </w:p>
        </w:tc>
      </w:tr>
      <w:tr w:rsidR="00D173EC" w:rsidRPr="00D173EC" w:rsidTr="002D43A8">
        <w:trPr>
          <w:trHeight w:val="1082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7.2. Рідкий концентрат кислотного компоненту після змішування з водою для діалізу в стандартній пропорції (1:34-1:35) має утворювати розчин з наступними іонними концентраціями та має відповідати наступним вимогам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sz w:val="24"/>
                <w:szCs w:val="24"/>
              </w:rPr>
              <w:t>Відповідність</w:t>
            </w:r>
          </w:p>
        </w:tc>
      </w:tr>
      <w:tr w:rsidR="00D173EC" w:rsidRPr="00D173EC" w:rsidTr="002D43A8">
        <w:trPr>
          <w:trHeight w:val="265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7.3. Фізичні параметри: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Безбарвний прозорий розчин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7.4. Наявність осаду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Відсутність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Натрій (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Na+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138-140 ммоль/л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Калій (K+)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2,0-3,0 ммоль/л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Кальцій (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Ca++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1,25-1,50 ммоль/л *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Магній  (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Mg++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0,5-0,75 ммоль/л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Хлорид  (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Cl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.)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109-111,5 ммоль/л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Ацетат (CH3COO 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2,0-3,0 ммоль/л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sz w:val="24"/>
                <w:szCs w:val="24"/>
              </w:rPr>
              <w:t>Глюкоза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sz w:val="24"/>
                <w:szCs w:val="24"/>
              </w:rPr>
              <w:t>0</w:t>
            </w:r>
          </w:p>
        </w:tc>
      </w:tr>
      <w:tr w:rsidR="00D173EC" w:rsidRPr="00D173EC" w:rsidTr="002D43A8">
        <w:trPr>
          <w:trHeight w:val="645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sz w:val="24"/>
                <w:szCs w:val="24"/>
              </w:rPr>
              <w:t xml:space="preserve">8. Рідкий концентрат кислотного компоненту </w:t>
            </w:r>
            <w:proofErr w:type="spellStart"/>
            <w:r w:rsidRPr="00D173EC">
              <w:rPr>
                <w:rFonts w:eastAsia="SimSun"/>
                <w:sz w:val="24"/>
                <w:szCs w:val="24"/>
              </w:rPr>
              <w:t>діалізуючого</w:t>
            </w:r>
            <w:proofErr w:type="spellEnd"/>
            <w:r w:rsidRPr="00D173EC">
              <w:rPr>
                <w:rFonts w:eastAsia="SimSun"/>
                <w:sz w:val="24"/>
                <w:szCs w:val="24"/>
              </w:rPr>
              <w:t xml:space="preserve"> розчину із вмістом глюкози: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Вимога</w:t>
            </w:r>
          </w:p>
        </w:tc>
      </w:tr>
      <w:tr w:rsidR="00D173EC" w:rsidRPr="00D173EC" w:rsidTr="002D43A8">
        <w:trPr>
          <w:trHeight w:val="96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 xml:space="preserve">8.1. Готовий до використання рідкий концентрат кислотного компоненту для приготування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бікарбонатного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діалізуючого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 xml:space="preserve"> розчину в ємностях від 8 до 12 літрів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Наявність</w:t>
            </w:r>
          </w:p>
        </w:tc>
      </w:tr>
      <w:tr w:rsidR="00D173EC" w:rsidRPr="00D173EC" w:rsidTr="002D43A8">
        <w:trPr>
          <w:trHeight w:val="273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8.2. Рідкий концентрат кислотного компоненту після змішування з водою для діалізу в стандартній пропорції (1:34-1:35) має утворювати розчин з наступними іонними концентраціями та має відповідати наступним вимогам: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sz w:val="24"/>
                <w:szCs w:val="24"/>
              </w:rPr>
              <w:t>Відповідність</w:t>
            </w:r>
          </w:p>
        </w:tc>
      </w:tr>
      <w:tr w:rsidR="00D173EC" w:rsidRPr="00D173EC" w:rsidTr="002D43A8">
        <w:trPr>
          <w:trHeight w:val="295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8.3. Фізичні параметри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Безбарвний прозорий розчин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8.4. Наявність осаду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Відсутність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Натрій (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Na+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138-140 ммоль/л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Калій (K+)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2,0-3,0 ммоль/л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lastRenderedPageBreak/>
              <w:t>Кальцій (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Ca++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1,25-1,5 ммоль/л</w:t>
            </w:r>
            <w:r w:rsidRPr="00D173EC">
              <w:rPr>
                <w:rFonts w:eastAsia="SimSun"/>
                <w:bCs/>
                <w:sz w:val="24"/>
                <w:szCs w:val="24"/>
                <w:lang w:val="ru-RU"/>
              </w:rPr>
              <w:t xml:space="preserve"> </w:t>
            </w:r>
            <w:r w:rsidRPr="00D173EC">
              <w:rPr>
                <w:rFonts w:eastAsia="SimSun"/>
                <w:bCs/>
                <w:sz w:val="24"/>
                <w:szCs w:val="24"/>
              </w:rPr>
              <w:t>*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Магній  (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Mg++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0,5-0,75 ммоль/л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Хлорид  (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</w:rPr>
              <w:t>Cl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</w:rPr>
              <w:t>.)</w:t>
            </w:r>
          </w:p>
        </w:tc>
        <w:tc>
          <w:tcPr>
            <w:tcW w:w="3041" w:type="dxa"/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10</w:t>
            </w:r>
            <w:r w:rsidRPr="00D173EC">
              <w:rPr>
                <w:rFonts w:eastAsia="SimSun"/>
                <w:bCs/>
                <w:sz w:val="24"/>
                <w:szCs w:val="24"/>
                <w:lang w:val="en-US"/>
              </w:rPr>
              <w:t>8</w:t>
            </w:r>
            <w:r w:rsidRPr="00D173EC">
              <w:rPr>
                <w:rFonts w:eastAsia="SimSun"/>
                <w:bCs/>
                <w:sz w:val="24"/>
                <w:szCs w:val="24"/>
              </w:rPr>
              <w:t>-111,5 ммоль/л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tcBorders>
              <w:bottom w:val="single" w:sz="4" w:space="0" w:color="auto"/>
            </w:tcBorders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Ацетат (CH3COO )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2,0-3,0 ммоль/л</w:t>
            </w:r>
          </w:p>
        </w:tc>
      </w:tr>
      <w:tr w:rsidR="00D173EC" w:rsidRPr="00D173EC" w:rsidTr="002D43A8">
        <w:trPr>
          <w:trHeight w:val="330"/>
          <w:jc w:val="center"/>
        </w:trPr>
        <w:tc>
          <w:tcPr>
            <w:tcW w:w="6678" w:type="dxa"/>
            <w:tcBorders>
              <w:bottom w:val="single" w:sz="4" w:space="0" w:color="auto"/>
            </w:tcBorders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Глюкоза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bCs/>
                <w:sz w:val="24"/>
                <w:szCs w:val="24"/>
              </w:rPr>
              <w:t>1-2 г/л</w:t>
            </w:r>
          </w:p>
        </w:tc>
      </w:tr>
      <w:tr w:rsidR="00D173EC" w:rsidRPr="00D173EC" w:rsidTr="002D43A8">
        <w:trPr>
          <w:trHeight w:val="315"/>
          <w:jc w:val="center"/>
        </w:trPr>
        <w:tc>
          <w:tcPr>
            <w:tcW w:w="9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173EC" w:rsidRPr="00D173EC" w:rsidRDefault="00D173EC" w:rsidP="00D173EC">
            <w:pPr>
              <w:autoSpaceDE/>
              <w:autoSpaceDN/>
              <w:rPr>
                <w:rFonts w:eastAsia="SimSun"/>
                <w:sz w:val="24"/>
                <w:szCs w:val="24"/>
              </w:rPr>
            </w:pPr>
            <w:r w:rsidRPr="00D173EC">
              <w:rPr>
                <w:rFonts w:eastAsia="SimSun"/>
                <w:sz w:val="24"/>
                <w:szCs w:val="24"/>
              </w:rPr>
              <w:t>*Замовник за своїми потребами має право вибрати розчини зі складом Кальцію (</w:t>
            </w:r>
            <w:proofErr w:type="spellStart"/>
            <w:r w:rsidRPr="00D173EC">
              <w:rPr>
                <w:rFonts w:eastAsia="SimSun"/>
                <w:sz w:val="24"/>
                <w:szCs w:val="24"/>
              </w:rPr>
              <w:t>Ca++</w:t>
            </w:r>
            <w:proofErr w:type="spellEnd"/>
            <w:r w:rsidRPr="00D173EC">
              <w:rPr>
                <w:rFonts w:eastAsia="SimSun"/>
                <w:sz w:val="24"/>
                <w:szCs w:val="24"/>
              </w:rPr>
              <w:t>)  або 1,</w:t>
            </w:r>
            <w:r w:rsidRPr="00D173EC">
              <w:rPr>
                <w:rFonts w:eastAsia="SimSun"/>
                <w:sz w:val="24"/>
                <w:szCs w:val="24"/>
                <w:lang w:val="en-US"/>
              </w:rPr>
              <w:t>25</w:t>
            </w:r>
            <w:r w:rsidRPr="00D173EC">
              <w:rPr>
                <w:rFonts w:eastAsia="SimSun"/>
                <w:sz w:val="24"/>
                <w:szCs w:val="24"/>
              </w:rPr>
              <w:t xml:space="preserve"> ммоль/л, або 1,5 ммоль/л.</w:t>
            </w:r>
          </w:p>
        </w:tc>
      </w:tr>
    </w:tbl>
    <w:p w:rsidR="00D173EC" w:rsidRPr="00D173EC" w:rsidRDefault="00D173EC" w:rsidP="00D173EC">
      <w:pPr>
        <w:tabs>
          <w:tab w:val="left" w:pos="426"/>
        </w:tabs>
        <w:suppressAutoHyphens/>
        <w:autoSpaceDE/>
        <w:autoSpaceDN/>
        <w:spacing w:line="216" w:lineRule="auto"/>
        <w:ind w:right="157"/>
        <w:jc w:val="both"/>
        <w:outlineLvl w:val="0"/>
        <w:rPr>
          <w:rFonts w:eastAsia="SimSun"/>
          <w:b/>
          <w:bCs/>
          <w:iCs/>
          <w:sz w:val="28"/>
          <w:szCs w:val="28"/>
          <w:lang w:eastAsia="zh-CN"/>
        </w:rPr>
      </w:pPr>
    </w:p>
    <w:tbl>
      <w:tblPr>
        <w:tblpPr w:leftFromText="180" w:rightFromText="180" w:vertAnchor="text" w:tblpX="-101" w:tblpY="1"/>
        <w:tblOverlap w:val="never"/>
        <w:tblW w:w="9747" w:type="dxa"/>
        <w:tblLayout w:type="fixed"/>
        <w:tblLook w:val="0000"/>
      </w:tblPr>
      <w:tblGrid>
        <w:gridCol w:w="7088"/>
        <w:gridCol w:w="2659"/>
      </w:tblGrid>
      <w:tr w:rsidR="00D173EC" w:rsidRPr="00D173EC" w:rsidTr="006E6D5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73EC" w:rsidRPr="00D173EC" w:rsidRDefault="00D173EC" w:rsidP="006E6D5E">
            <w:pPr>
              <w:tabs>
                <w:tab w:val="left" w:pos="426"/>
              </w:tabs>
              <w:suppressAutoHyphens/>
              <w:autoSpaceDE/>
              <w:autoSpaceDN/>
              <w:spacing w:line="216" w:lineRule="auto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9. Фільтр для приготування ультра чистого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діалізуючого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 розчину: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3EC" w:rsidRPr="00D173EC" w:rsidRDefault="00D173EC" w:rsidP="006E6D5E">
            <w:pPr>
              <w:tabs>
                <w:tab w:val="left" w:pos="426"/>
              </w:tabs>
              <w:suppressAutoHyphens/>
              <w:autoSpaceDE/>
              <w:autoSpaceDN/>
              <w:spacing w:line="216" w:lineRule="auto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D173EC" w:rsidRPr="00D173EC" w:rsidTr="006E6D5E">
        <w:trPr>
          <w:trHeight w:val="44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6E6D5E">
            <w:pPr>
              <w:tabs>
                <w:tab w:val="left" w:pos="426"/>
              </w:tabs>
              <w:suppressAutoHyphens/>
              <w:autoSpaceDE/>
              <w:autoSpaceDN/>
              <w:spacing w:line="216" w:lineRule="auto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9.1. Повинен бути сумісний з апаратом для гемодіалізу та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гемодіафільтрації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Artis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, виробництва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Gambro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, або еквівалент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6E6D5E">
            <w:pPr>
              <w:suppressAutoHyphens/>
              <w:autoSpaceDE/>
              <w:autoSpaceDN/>
              <w:snapToGrid w:val="0"/>
              <w:spacing w:line="216" w:lineRule="auto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Сумісність</w:t>
            </w:r>
          </w:p>
        </w:tc>
      </w:tr>
      <w:tr w:rsidR="00D173EC" w:rsidRPr="00D173EC" w:rsidTr="006E6D5E">
        <w:trPr>
          <w:trHeight w:val="51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3EC" w:rsidRPr="00D173EC" w:rsidRDefault="00D173EC" w:rsidP="006E6D5E">
            <w:pPr>
              <w:tabs>
                <w:tab w:val="left" w:pos="426"/>
              </w:tabs>
              <w:suppressAutoHyphens/>
              <w:autoSpaceDE/>
              <w:autoSpaceDN/>
              <w:spacing w:line="216" w:lineRule="auto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9.2. Повинен бути призначений для використання в якості бактеріального і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пірогенного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 фільтра при приготуванні ультра чистого </w:t>
            </w:r>
            <w:proofErr w:type="spellStart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діалізного</w:t>
            </w:r>
            <w:proofErr w:type="spellEnd"/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 xml:space="preserve"> розчину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3EC" w:rsidRPr="00D173EC" w:rsidRDefault="00D173EC" w:rsidP="006E6D5E">
            <w:pPr>
              <w:suppressAutoHyphens/>
              <w:autoSpaceDE/>
              <w:autoSpaceDN/>
              <w:spacing w:line="216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D173EC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</w:tbl>
    <w:p w:rsidR="00D173EC" w:rsidRPr="00D173EC" w:rsidRDefault="00D173EC" w:rsidP="00D173EC">
      <w:pPr>
        <w:autoSpaceDE/>
        <w:autoSpaceDN/>
        <w:jc w:val="both"/>
        <w:rPr>
          <w:sz w:val="24"/>
          <w:szCs w:val="24"/>
        </w:rPr>
      </w:pPr>
    </w:p>
    <w:p w:rsidR="00D173EC" w:rsidRPr="00D173EC" w:rsidRDefault="00D173EC" w:rsidP="00D173EC">
      <w:pPr>
        <w:autoSpaceDE/>
        <w:autoSpaceDN/>
        <w:ind w:right="-1" w:firstLine="770"/>
        <w:jc w:val="both"/>
        <w:rPr>
          <w:i/>
          <w:iCs/>
          <w:sz w:val="24"/>
          <w:szCs w:val="24"/>
        </w:rPr>
      </w:pPr>
      <w:r w:rsidRPr="00D173EC">
        <w:rPr>
          <w:i/>
          <w:iCs/>
          <w:sz w:val="24"/>
          <w:szCs w:val="24"/>
        </w:rPr>
        <w:t>Загальні вимоги:</w:t>
      </w:r>
    </w:p>
    <w:p w:rsidR="00D173EC" w:rsidRPr="00D173EC" w:rsidRDefault="00D173EC" w:rsidP="00D173EC">
      <w:pPr>
        <w:autoSpaceDE/>
        <w:autoSpaceDN/>
        <w:ind w:right="-1" w:firstLine="708"/>
        <w:jc w:val="both"/>
        <w:rPr>
          <w:sz w:val="24"/>
          <w:szCs w:val="24"/>
        </w:rPr>
      </w:pPr>
      <w:r w:rsidRPr="00D173EC">
        <w:rPr>
          <w:sz w:val="24"/>
          <w:szCs w:val="24"/>
        </w:rPr>
        <w:t xml:space="preserve">1. Витратні матеріали повинні бути зареєстровані в Україні згідно вимог чинного законодавства України. Для підтвердження учасник надає копію свідоцтва про державну реєстрацію або </w:t>
      </w:r>
      <w:r w:rsidRPr="00D173EC">
        <w:rPr>
          <w:rFonts w:eastAsia="Calibri"/>
          <w:bCs/>
          <w:iCs/>
          <w:sz w:val="24"/>
          <w:szCs w:val="24"/>
          <w:lang w:eastAsia="en-US"/>
        </w:rPr>
        <w:t>копію відповідного документу (чи лист-роз’яснення щодо його відсутності</w:t>
      </w:r>
      <w:r w:rsidRPr="00D173EC">
        <w:rPr>
          <w:sz w:val="24"/>
          <w:szCs w:val="24"/>
        </w:rPr>
        <w:t xml:space="preserve">) стосовно відповідності </w:t>
      </w:r>
      <w:r w:rsidRPr="00D173EC">
        <w:rPr>
          <w:rFonts w:eastAsia="Calibri"/>
          <w:bCs/>
          <w:iCs/>
          <w:sz w:val="24"/>
          <w:szCs w:val="24"/>
          <w:lang w:eastAsia="en-US"/>
        </w:rPr>
        <w:t xml:space="preserve">вимогам Технічного регламенту щодо медичних виробів, або Технічного регламенту щодо медичних виробів для діагностики </w:t>
      </w:r>
      <w:r w:rsidRPr="00D173EC">
        <w:rPr>
          <w:rFonts w:eastAsia="Calibri"/>
          <w:bCs/>
          <w:iCs/>
          <w:sz w:val="24"/>
          <w:szCs w:val="24"/>
          <w:lang w:val="en-US" w:eastAsia="en-US"/>
        </w:rPr>
        <w:t>in</w:t>
      </w:r>
      <w:r w:rsidRPr="00D173EC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D173EC">
        <w:rPr>
          <w:rFonts w:eastAsia="Calibri"/>
          <w:bCs/>
          <w:iCs/>
          <w:sz w:val="24"/>
          <w:szCs w:val="24"/>
          <w:lang w:val="en-US" w:eastAsia="en-US"/>
        </w:rPr>
        <w:t>vitro</w:t>
      </w:r>
      <w:r w:rsidRPr="00D173EC">
        <w:rPr>
          <w:rFonts w:eastAsia="Calibri"/>
          <w:bCs/>
          <w:iCs/>
          <w:sz w:val="24"/>
          <w:szCs w:val="24"/>
          <w:lang w:eastAsia="en-US"/>
        </w:rPr>
        <w:t>, або Технічного регламенту щодо активних медичних виробів, які імплантують.</w:t>
      </w:r>
    </w:p>
    <w:p w:rsidR="00D173EC" w:rsidRPr="00D173EC" w:rsidRDefault="00D173EC" w:rsidP="00D173EC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D173EC">
        <w:rPr>
          <w:rFonts w:eastAsia="Calibri"/>
          <w:bCs/>
          <w:sz w:val="24"/>
          <w:szCs w:val="24"/>
          <w:lang w:eastAsia="en-US"/>
        </w:rPr>
        <w:t xml:space="preserve">2. Медичні вироби, </w:t>
      </w:r>
      <w:r w:rsidRPr="00D173EC">
        <w:rPr>
          <w:rFonts w:eastAsia="Calibri"/>
          <w:bCs/>
          <w:iCs/>
          <w:sz w:val="24"/>
          <w:szCs w:val="24"/>
          <w:lang w:eastAsia="en-US"/>
        </w:rPr>
        <w:t>запропоновані для цієї закупівлі, повинні бути введені в обіг та/або експлуатацію у законний спосіб на момент подання тендерної пропозиції. Для підтвердження учасник повинен надати копію відповідного документу або лист-роз’яснення щодо його відсутності.</w:t>
      </w:r>
    </w:p>
    <w:p w:rsidR="00D173EC" w:rsidRPr="00D173EC" w:rsidRDefault="00D173EC" w:rsidP="00D173EC">
      <w:pPr>
        <w:autoSpaceDE/>
        <w:autoSpaceDN/>
        <w:ind w:right="-1" w:firstLine="708"/>
        <w:jc w:val="both"/>
        <w:rPr>
          <w:sz w:val="24"/>
          <w:szCs w:val="24"/>
        </w:rPr>
      </w:pPr>
      <w:r w:rsidRPr="00D173EC">
        <w:rPr>
          <w:sz w:val="24"/>
          <w:szCs w:val="24"/>
        </w:rPr>
        <w:t>3. Витратні матеріали повинні мати інструкцію з застосування. Для підтвердження учасником надається копія інструкції застосування витратних матеріалів.</w:t>
      </w:r>
    </w:p>
    <w:p w:rsidR="00D173EC" w:rsidRPr="00D173EC" w:rsidRDefault="00D173EC" w:rsidP="00D173EC">
      <w:pPr>
        <w:autoSpaceDE/>
        <w:autoSpaceDN/>
        <w:ind w:right="-1" w:firstLine="708"/>
        <w:jc w:val="both"/>
        <w:rPr>
          <w:sz w:val="24"/>
          <w:szCs w:val="24"/>
        </w:rPr>
      </w:pPr>
      <w:r w:rsidRPr="00D173EC">
        <w:rPr>
          <w:sz w:val="24"/>
          <w:szCs w:val="24"/>
        </w:rPr>
        <w:t>4. Строк придатності витратних матеріалів на момент поставки повинен становити не менше 75% від загального терміну придатності. Для підтвердження учасник надає гарантійний лист про термін придатності витратних матеріалів.</w:t>
      </w:r>
    </w:p>
    <w:p w:rsidR="00D173EC" w:rsidRPr="00D173EC" w:rsidRDefault="00D173EC" w:rsidP="00D173EC">
      <w:pPr>
        <w:autoSpaceDE/>
        <w:autoSpaceDN/>
        <w:ind w:right="-1" w:firstLine="708"/>
        <w:jc w:val="both"/>
        <w:rPr>
          <w:sz w:val="24"/>
          <w:szCs w:val="24"/>
        </w:rPr>
      </w:pPr>
      <w:r w:rsidRPr="00D173EC">
        <w:rPr>
          <w:sz w:val="24"/>
          <w:szCs w:val="24"/>
        </w:rPr>
        <w:t xml:space="preserve">5. Строк поставки витратних матеріалів повинен становити не більше 10 днів з моменту отримання письмової заявки. Для підтвердження учасник надає гарантійний лист про строк поставки витратних матеріалів. </w:t>
      </w:r>
    </w:p>
    <w:p w:rsidR="00D173EC" w:rsidRPr="00D173EC" w:rsidRDefault="00D173EC" w:rsidP="00D173EC">
      <w:pPr>
        <w:autoSpaceDE/>
        <w:autoSpaceDN/>
        <w:ind w:right="-1" w:firstLine="708"/>
        <w:jc w:val="both"/>
        <w:rPr>
          <w:sz w:val="24"/>
          <w:szCs w:val="24"/>
        </w:rPr>
      </w:pPr>
      <w:r w:rsidRPr="00D173EC">
        <w:rPr>
          <w:sz w:val="24"/>
          <w:szCs w:val="24"/>
        </w:rPr>
        <w:t>6.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</w:t>
      </w:r>
    </w:p>
    <w:p w:rsidR="00D173EC" w:rsidRPr="00D173EC" w:rsidRDefault="00D173EC" w:rsidP="00D173EC">
      <w:pPr>
        <w:autoSpaceDE/>
        <w:autoSpaceDN/>
        <w:ind w:right="-1" w:firstLine="708"/>
        <w:jc w:val="both"/>
        <w:rPr>
          <w:sz w:val="24"/>
          <w:szCs w:val="24"/>
        </w:rPr>
      </w:pPr>
      <w:r w:rsidRPr="00D173EC">
        <w:rPr>
          <w:sz w:val="24"/>
          <w:szCs w:val="24"/>
        </w:rPr>
        <w:t>7. 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довкілля.</w:t>
      </w:r>
    </w:p>
    <w:p w:rsidR="00D173EC" w:rsidRPr="00D173EC" w:rsidRDefault="00D173EC" w:rsidP="00D173EC">
      <w:pPr>
        <w:autoSpaceDE/>
        <w:autoSpaceDN/>
        <w:ind w:right="-1" w:firstLine="708"/>
        <w:jc w:val="both"/>
        <w:rPr>
          <w:sz w:val="24"/>
          <w:szCs w:val="24"/>
        </w:rPr>
      </w:pPr>
      <w:r w:rsidRPr="00D173EC">
        <w:rPr>
          <w:sz w:val="24"/>
          <w:szCs w:val="24"/>
        </w:rPr>
        <w:t xml:space="preserve">8. </w:t>
      </w:r>
      <w:r w:rsidRPr="00D173EC">
        <w:rPr>
          <w:rFonts w:eastAsia="Calibri"/>
          <w:bCs/>
          <w:sz w:val="24"/>
          <w:szCs w:val="24"/>
          <w:lang w:eastAsia="en-US"/>
        </w:rPr>
        <w:t>Запропонований товар повинен бути якісним. Для підтвердження постачальник надає сертифікат відповідності, який виданий відповідним органом з сертифікації, акредитованим національним органом України з акредитації, і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В разі, якщо це не передбачено законодавством України, необхідно надати відповідний лист-роз’яснення</w:t>
      </w:r>
      <w:r w:rsidRPr="00D173EC">
        <w:rPr>
          <w:sz w:val="24"/>
          <w:szCs w:val="24"/>
        </w:rPr>
        <w:t>.</w:t>
      </w:r>
    </w:p>
    <w:p w:rsidR="00D173EC" w:rsidRPr="00D173EC" w:rsidRDefault="00D173EC" w:rsidP="00D173EC">
      <w:pPr>
        <w:tabs>
          <w:tab w:val="left" w:pos="720"/>
        </w:tabs>
        <w:autoSpaceDE/>
        <w:autoSpaceDN/>
        <w:ind w:right="-142" w:firstLine="720"/>
        <w:jc w:val="both"/>
        <w:rPr>
          <w:rFonts w:eastAsia="Calibri"/>
          <w:b/>
          <w:sz w:val="24"/>
          <w:szCs w:val="24"/>
        </w:rPr>
      </w:pPr>
      <w:r w:rsidRPr="00D173EC">
        <w:rPr>
          <w:rFonts w:eastAsia="Calibri"/>
          <w:sz w:val="24"/>
          <w:szCs w:val="24"/>
        </w:rPr>
        <w:t>9.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D173EC" w:rsidRPr="00D173EC" w:rsidRDefault="00D173EC" w:rsidP="00D173EC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173EC" w:rsidRPr="00D173EC" w:rsidRDefault="00D173EC" w:rsidP="00D173EC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173EC">
        <w:rPr>
          <w:rFonts w:eastAsia="Calibri"/>
          <w:b/>
          <w:bCs/>
          <w:sz w:val="24"/>
          <w:szCs w:val="24"/>
          <w:lang w:eastAsia="en-US"/>
        </w:rPr>
        <w:lastRenderedPageBreak/>
        <w:t>Форма тендерної пропозиції</w:t>
      </w:r>
    </w:p>
    <w:p w:rsidR="00D173EC" w:rsidRPr="00D173EC" w:rsidRDefault="00D173EC" w:rsidP="00D173EC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173EC" w:rsidRPr="00D173EC" w:rsidRDefault="00D173EC" w:rsidP="00D173EC">
      <w:pPr>
        <w:autoSpaceDE/>
        <w:autoSpaceDN/>
        <w:jc w:val="center"/>
        <w:rPr>
          <w:rFonts w:eastAsia="Calibri"/>
          <w:bCs/>
          <w:iCs/>
          <w:lang w:eastAsia="en-US"/>
        </w:rPr>
      </w:pPr>
      <w:r w:rsidRPr="00D173EC">
        <w:rPr>
          <w:rFonts w:eastAsia="Calibri"/>
          <w:bCs/>
          <w:iCs/>
          <w:lang w:eastAsia="en-US"/>
        </w:rPr>
        <w:t>(назва процедури закупівлі)</w:t>
      </w:r>
    </w:p>
    <w:p w:rsidR="00D173EC" w:rsidRPr="00D173EC" w:rsidRDefault="00D173EC" w:rsidP="00D173EC">
      <w:pPr>
        <w:autoSpaceDE/>
        <w:autoSpaceDN/>
        <w:jc w:val="center"/>
        <w:rPr>
          <w:rFonts w:eastAsia="Calibri"/>
          <w:bCs/>
          <w:iCs/>
          <w:sz w:val="24"/>
          <w:szCs w:val="24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433"/>
        <w:gridCol w:w="2160"/>
        <w:gridCol w:w="1800"/>
        <w:gridCol w:w="1460"/>
        <w:gridCol w:w="1100"/>
      </w:tblGrid>
      <w:tr w:rsidR="00D173EC" w:rsidRPr="00D173EC" w:rsidTr="0021117E">
        <w:trPr>
          <w:trHeight w:val="128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D173EC">
              <w:rPr>
                <w:rFonts w:eastAsia="Calibri"/>
                <w:lang w:eastAsia="en-US"/>
              </w:rPr>
              <w:t>№ лоту/</w:t>
            </w:r>
          </w:p>
          <w:p w:rsidR="00D173EC" w:rsidRPr="00D173EC" w:rsidRDefault="00D173EC" w:rsidP="00D173EC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D173EC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ind w:left="78" w:hanging="78"/>
              <w:jc w:val="center"/>
              <w:rPr>
                <w:rFonts w:eastAsia="Calibri"/>
                <w:lang w:eastAsia="en-US"/>
              </w:rPr>
            </w:pPr>
            <w:r w:rsidRPr="00D173EC">
              <w:rPr>
                <w:rFonts w:eastAsia="Calibri"/>
                <w:lang w:eastAsia="en-US"/>
              </w:rPr>
              <w:t>Найменування предмету закупівлі/товару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ind w:firstLine="33"/>
              <w:jc w:val="center"/>
              <w:rPr>
                <w:rFonts w:eastAsia="Calibri"/>
                <w:lang w:eastAsia="en-US"/>
              </w:rPr>
            </w:pPr>
            <w:r w:rsidRPr="00D173EC">
              <w:rPr>
                <w:rFonts w:eastAsia="Calibri"/>
                <w:lang w:eastAsia="en-US"/>
              </w:rPr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D173EC">
              <w:rPr>
                <w:rFonts w:eastAsia="Calibri"/>
                <w:lang w:eastAsia="en-US"/>
              </w:rPr>
              <w:t>Виробник, країна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D173EC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D173EC">
              <w:rPr>
                <w:rFonts w:eastAsia="Calibri"/>
                <w:lang w:eastAsia="en-US"/>
              </w:rPr>
              <w:t>Кількість,</w:t>
            </w:r>
          </w:p>
          <w:p w:rsidR="00D173EC" w:rsidRPr="00D173EC" w:rsidRDefault="00D173EC" w:rsidP="00D173EC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D173EC">
              <w:rPr>
                <w:rFonts w:eastAsia="Calibri"/>
                <w:lang w:eastAsia="en-US"/>
              </w:rPr>
              <w:t>од.</w:t>
            </w:r>
          </w:p>
        </w:tc>
      </w:tr>
      <w:tr w:rsidR="00D173EC" w:rsidRPr="00D173EC" w:rsidTr="0021117E">
        <w:trPr>
          <w:trHeight w:val="3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D173EC" w:rsidRPr="00D173EC" w:rsidRDefault="00D173EC" w:rsidP="00D173EC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173EC" w:rsidRPr="00D173EC" w:rsidRDefault="00D173EC" w:rsidP="00D173EC">
      <w:pPr>
        <w:shd w:val="clear" w:color="auto" w:fill="FFFFFF"/>
        <w:tabs>
          <w:tab w:val="left" w:pos="72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D173EC" w:rsidRPr="00D173EC" w:rsidTr="002D43A8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D173EC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D173EC" w:rsidRPr="00D173EC" w:rsidRDefault="00D173EC" w:rsidP="00D173EC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D173EC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D173EC" w:rsidRPr="00D173EC" w:rsidRDefault="00D173EC" w:rsidP="00D173EC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D173EC">
              <w:rPr>
                <w:sz w:val="16"/>
                <w:szCs w:val="16"/>
              </w:rPr>
              <w:t>( П.І.Б.)</w:t>
            </w:r>
          </w:p>
          <w:p w:rsidR="00D173EC" w:rsidRPr="00D173EC" w:rsidRDefault="00D173EC" w:rsidP="00D173EC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D173EC">
              <w:rPr>
                <w:sz w:val="16"/>
                <w:szCs w:val="16"/>
              </w:rPr>
              <w:t xml:space="preserve">М. П.**                                      </w:t>
            </w:r>
          </w:p>
        </w:tc>
      </w:tr>
    </w:tbl>
    <w:p w:rsidR="00D173EC" w:rsidRPr="00D173EC" w:rsidRDefault="00D173EC" w:rsidP="00D173EC">
      <w:pPr>
        <w:autoSpaceDE/>
        <w:autoSpaceDN/>
        <w:ind w:firstLine="709"/>
        <w:jc w:val="both"/>
        <w:rPr>
          <w:bCs/>
          <w:sz w:val="24"/>
          <w:szCs w:val="24"/>
        </w:rPr>
      </w:pPr>
      <w:r w:rsidRPr="00D173EC">
        <w:t>** Вимога щодо печатки не стосується учасників, які здійснюють діяльність без печатки згідно з чинним законодавством.</w:t>
      </w:r>
    </w:p>
    <w:p w:rsidR="00D173EC" w:rsidRPr="00D173EC" w:rsidRDefault="00D173EC" w:rsidP="00D173EC">
      <w:pPr>
        <w:autoSpaceDE/>
        <w:autoSpaceDN/>
        <w:ind w:firstLine="708"/>
        <w:jc w:val="both"/>
        <w:rPr>
          <w:rFonts w:eastAsia="Calibri"/>
          <w:bCs/>
          <w:lang w:eastAsia="en-US"/>
        </w:rPr>
      </w:pPr>
      <w:r w:rsidRPr="00D173EC">
        <w:rPr>
          <w:rFonts w:eastAsia="Calibri"/>
          <w:bCs/>
          <w:iCs/>
          <w:lang w:eastAsia="en-US"/>
        </w:rPr>
        <w:t>***</w:t>
      </w:r>
      <w:r w:rsidRPr="00D173EC">
        <w:rPr>
          <w:rFonts w:eastAsia="Calibri"/>
          <w:bCs/>
          <w:lang w:eastAsia="en-US"/>
        </w:rPr>
        <w:t xml:space="preserve">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DA034B" w:rsidRPr="0039791B" w:rsidRDefault="00DA034B" w:rsidP="00DA034B">
      <w:pPr>
        <w:ind w:firstLine="708"/>
        <w:jc w:val="both"/>
        <w:rPr>
          <w:bCs/>
          <w:sz w:val="28"/>
          <w:szCs w:val="28"/>
        </w:rPr>
      </w:pPr>
    </w:p>
    <w:p w:rsidR="00520BEA" w:rsidRPr="0039791B" w:rsidRDefault="00520BEA" w:rsidP="00264562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9791B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FE703B" w:rsidRPr="00FE703B" w:rsidRDefault="00C47BFC" w:rsidP="00683761">
      <w:pPr>
        <w:rPr>
          <w:rFonts w:eastAsia="MS Mincho"/>
          <w:sz w:val="28"/>
          <w:szCs w:val="28"/>
        </w:rPr>
      </w:pPr>
      <w:r w:rsidRPr="00C47BFC">
        <w:rPr>
          <w:b/>
          <w:bCs/>
          <w:sz w:val="28"/>
          <w:szCs w:val="28"/>
        </w:rPr>
        <w:t xml:space="preserve">10 645 638,36 грн </w:t>
      </w:r>
      <w:r w:rsidRPr="00C47BFC">
        <w:rPr>
          <w:sz w:val="28"/>
          <w:szCs w:val="28"/>
        </w:rPr>
        <w:t>(Десять мільйонів шістсот сорок п'ять тисяч шістсот тридцять вісім гривень 36 копійок)</w:t>
      </w:r>
      <w:r w:rsidR="00683761" w:rsidRPr="00683761">
        <w:rPr>
          <w:b/>
          <w:bCs/>
          <w:sz w:val="28"/>
          <w:szCs w:val="28"/>
        </w:rPr>
        <w:t>, з ПДВ.</w:t>
      </w:r>
    </w:p>
    <w:sectPr w:rsidR="00FE703B" w:rsidRPr="00FE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5"/>
  </w:num>
  <w:num w:numId="26">
    <w:abstractNumId w:val="11"/>
  </w:num>
  <w:num w:numId="27">
    <w:abstractNumId w:val="17"/>
  </w:num>
  <w:num w:numId="28">
    <w:abstractNumId w:val="36"/>
  </w:num>
  <w:num w:numId="29">
    <w:abstractNumId w:val="25"/>
  </w:num>
  <w:num w:numId="30">
    <w:abstractNumId w:val="23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2297E"/>
    <w:rsid w:val="00030A5D"/>
    <w:rsid w:val="000731E1"/>
    <w:rsid w:val="0008059F"/>
    <w:rsid w:val="000809BA"/>
    <w:rsid w:val="00092739"/>
    <w:rsid w:val="000975BE"/>
    <w:rsid w:val="000A1D99"/>
    <w:rsid w:val="000A20D5"/>
    <w:rsid w:val="000A3DBD"/>
    <w:rsid w:val="000A582C"/>
    <w:rsid w:val="000A74AB"/>
    <w:rsid w:val="000C13A7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339B4"/>
    <w:rsid w:val="0014099F"/>
    <w:rsid w:val="001453D8"/>
    <w:rsid w:val="00152E1B"/>
    <w:rsid w:val="0015394C"/>
    <w:rsid w:val="00185BFE"/>
    <w:rsid w:val="001969C6"/>
    <w:rsid w:val="001A46C0"/>
    <w:rsid w:val="001B135C"/>
    <w:rsid w:val="001B51C7"/>
    <w:rsid w:val="001B60EC"/>
    <w:rsid w:val="001F3469"/>
    <w:rsid w:val="001F7E5D"/>
    <w:rsid w:val="0021117E"/>
    <w:rsid w:val="002126F8"/>
    <w:rsid w:val="00216FD1"/>
    <w:rsid w:val="00246867"/>
    <w:rsid w:val="002541C5"/>
    <w:rsid w:val="00264562"/>
    <w:rsid w:val="0026696F"/>
    <w:rsid w:val="002726BB"/>
    <w:rsid w:val="002764BD"/>
    <w:rsid w:val="00287E27"/>
    <w:rsid w:val="00294D05"/>
    <w:rsid w:val="002960F7"/>
    <w:rsid w:val="002970FC"/>
    <w:rsid w:val="002A56E3"/>
    <w:rsid w:val="002B11BD"/>
    <w:rsid w:val="002B6F1B"/>
    <w:rsid w:val="002C31BF"/>
    <w:rsid w:val="002D1367"/>
    <w:rsid w:val="002D22A6"/>
    <w:rsid w:val="002D43A8"/>
    <w:rsid w:val="002E5181"/>
    <w:rsid w:val="002E5830"/>
    <w:rsid w:val="00310D8A"/>
    <w:rsid w:val="00322106"/>
    <w:rsid w:val="003272ED"/>
    <w:rsid w:val="00332AE4"/>
    <w:rsid w:val="003455BC"/>
    <w:rsid w:val="00352629"/>
    <w:rsid w:val="00352A71"/>
    <w:rsid w:val="0035583C"/>
    <w:rsid w:val="003625AA"/>
    <w:rsid w:val="0036400A"/>
    <w:rsid w:val="003641A6"/>
    <w:rsid w:val="00392B5B"/>
    <w:rsid w:val="0039791B"/>
    <w:rsid w:val="003A7D39"/>
    <w:rsid w:val="003B60F3"/>
    <w:rsid w:val="003D3F72"/>
    <w:rsid w:val="00405126"/>
    <w:rsid w:val="00431E5F"/>
    <w:rsid w:val="00440A7A"/>
    <w:rsid w:val="00453BF0"/>
    <w:rsid w:val="00460F05"/>
    <w:rsid w:val="00461B51"/>
    <w:rsid w:val="00486B15"/>
    <w:rsid w:val="00492C32"/>
    <w:rsid w:val="0049431A"/>
    <w:rsid w:val="004A7253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5433E"/>
    <w:rsid w:val="00562F70"/>
    <w:rsid w:val="00565BF6"/>
    <w:rsid w:val="00574ECF"/>
    <w:rsid w:val="0058325C"/>
    <w:rsid w:val="0058731F"/>
    <w:rsid w:val="005942E1"/>
    <w:rsid w:val="005B188C"/>
    <w:rsid w:val="005B4DEE"/>
    <w:rsid w:val="005D7F21"/>
    <w:rsid w:val="005E70FD"/>
    <w:rsid w:val="005F3340"/>
    <w:rsid w:val="00620C8C"/>
    <w:rsid w:val="00640658"/>
    <w:rsid w:val="006439E9"/>
    <w:rsid w:val="00651A90"/>
    <w:rsid w:val="006557BF"/>
    <w:rsid w:val="00663EB5"/>
    <w:rsid w:val="0066427A"/>
    <w:rsid w:val="00683761"/>
    <w:rsid w:val="00685E93"/>
    <w:rsid w:val="006B0C41"/>
    <w:rsid w:val="006C0C3C"/>
    <w:rsid w:val="006C5000"/>
    <w:rsid w:val="006C5BE6"/>
    <w:rsid w:val="006D04EC"/>
    <w:rsid w:val="006D2108"/>
    <w:rsid w:val="006D6734"/>
    <w:rsid w:val="006E6D5E"/>
    <w:rsid w:val="006F2A6D"/>
    <w:rsid w:val="007067C0"/>
    <w:rsid w:val="00710EFD"/>
    <w:rsid w:val="00723875"/>
    <w:rsid w:val="007379DE"/>
    <w:rsid w:val="007447AC"/>
    <w:rsid w:val="0074550B"/>
    <w:rsid w:val="00750FDC"/>
    <w:rsid w:val="007549EA"/>
    <w:rsid w:val="00770038"/>
    <w:rsid w:val="00774441"/>
    <w:rsid w:val="00782DF6"/>
    <w:rsid w:val="0078555B"/>
    <w:rsid w:val="00787EDE"/>
    <w:rsid w:val="007A4920"/>
    <w:rsid w:val="007A56C2"/>
    <w:rsid w:val="007B1B75"/>
    <w:rsid w:val="0080020D"/>
    <w:rsid w:val="00800AD8"/>
    <w:rsid w:val="00810AD2"/>
    <w:rsid w:val="00820932"/>
    <w:rsid w:val="008233F8"/>
    <w:rsid w:val="00834670"/>
    <w:rsid w:val="00872344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9157A2"/>
    <w:rsid w:val="0092202A"/>
    <w:rsid w:val="009368F5"/>
    <w:rsid w:val="00937282"/>
    <w:rsid w:val="00941496"/>
    <w:rsid w:val="009477F5"/>
    <w:rsid w:val="00953B12"/>
    <w:rsid w:val="0096444C"/>
    <w:rsid w:val="0097640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7FB"/>
    <w:rsid w:val="00A22FEF"/>
    <w:rsid w:val="00A31CD8"/>
    <w:rsid w:val="00A32993"/>
    <w:rsid w:val="00A35886"/>
    <w:rsid w:val="00A43D09"/>
    <w:rsid w:val="00A51CAD"/>
    <w:rsid w:val="00A53845"/>
    <w:rsid w:val="00A561FF"/>
    <w:rsid w:val="00A62278"/>
    <w:rsid w:val="00A762FE"/>
    <w:rsid w:val="00A83630"/>
    <w:rsid w:val="00A93034"/>
    <w:rsid w:val="00A9751A"/>
    <w:rsid w:val="00AA72B4"/>
    <w:rsid w:val="00AB5AB6"/>
    <w:rsid w:val="00AD171E"/>
    <w:rsid w:val="00B05CE4"/>
    <w:rsid w:val="00B1432A"/>
    <w:rsid w:val="00B2265C"/>
    <w:rsid w:val="00B44D15"/>
    <w:rsid w:val="00B8504B"/>
    <w:rsid w:val="00BA4216"/>
    <w:rsid w:val="00BB6E01"/>
    <w:rsid w:val="00BB7E91"/>
    <w:rsid w:val="00BC3564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47BFC"/>
    <w:rsid w:val="00C65966"/>
    <w:rsid w:val="00C67F83"/>
    <w:rsid w:val="00C83F78"/>
    <w:rsid w:val="00C91D4D"/>
    <w:rsid w:val="00C959CA"/>
    <w:rsid w:val="00CA1D9E"/>
    <w:rsid w:val="00CB7D50"/>
    <w:rsid w:val="00CC2468"/>
    <w:rsid w:val="00CC557E"/>
    <w:rsid w:val="00CC5AD9"/>
    <w:rsid w:val="00CC6440"/>
    <w:rsid w:val="00CF69B5"/>
    <w:rsid w:val="00D10053"/>
    <w:rsid w:val="00D173EC"/>
    <w:rsid w:val="00D347C5"/>
    <w:rsid w:val="00D34CF7"/>
    <w:rsid w:val="00D64434"/>
    <w:rsid w:val="00D73212"/>
    <w:rsid w:val="00D81F01"/>
    <w:rsid w:val="00D84D50"/>
    <w:rsid w:val="00DA034B"/>
    <w:rsid w:val="00DA0FED"/>
    <w:rsid w:val="00DA3378"/>
    <w:rsid w:val="00DA558F"/>
    <w:rsid w:val="00DC41EB"/>
    <w:rsid w:val="00DC76CE"/>
    <w:rsid w:val="00DD0AC7"/>
    <w:rsid w:val="00DD149A"/>
    <w:rsid w:val="00DE0EFC"/>
    <w:rsid w:val="00DF1101"/>
    <w:rsid w:val="00DF7F3C"/>
    <w:rsid w:val="00E27100"/>
    <w:rsid w:val="00E40764"/>
    <w:rsid w:val="00E4747B"/>
    <w:rsid w:val="00E64C66"/>
    <w:rsid w:val="00E67100"/>
    <w:rsid w:val="00E6722E"/>
    <w:rsid w:val="00E7525B"/>
    <w:rsid w:val="00EA061B"/>
    <w:rsid w:val="00EA2410"/>
    <w:rsid w:val="00EA5B39"/>
    <w:rsid w:val="00EB13D1"/>
    <w:rsid w:val="00EC2D59"/>
    <w:rsid w:val="00EC77FA"/>
    <w:rsid w:val="00ED123E"/>
    <w:rsid w:val="00ED579C"/>
    <w:rsid w:val="00EF4AA5"/>
    <w:rsid w:val="00EF5C86"/>
    <w:rsid w:val="00F01329"/>
    <w:rsid w:val="00F0194F"/>
    <w:rsid w:val="00F03D95"/>
    <w:rsid w:val="00F06804"/>
    <w:rsid w:val="00F06F56"/>
    <w:rsid w:val="00F15D7E"/>
    <w:rsid w:val="00F31B5C"/>
    <w:rsid w:val="00F46B3B"/>
    <w:rsid w:val="00F66E71"/>
    <w:rsid w:val="00F67EC4"/>
    <w:rsid w:val="00F7167D"/>
    <w:rsid w:val="00F731D7"/>
    <w:rsid w:val="00F76001"/>
    <w:rsid w:val="00F825A9"/>
    <w:rsid w:val="00F85200"/>
    <w:rsid w:val="00F86DFE"/>
    <w:rsid w:val="00F931AB"/>
    <w:rsid w:val="00FB4B97"/>
    <w:rsid w:val="00FB5F16"/>
    <w:rsid w:val="00FC3643"/>
    <w:rsid w:val="00FE1BAD"/>
    <w:rsid w:val="00FE703B"/>
    <w:rsid w:val="00FF5ECF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34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6">
    <w:basedOn w:val="a"/>
    <w:next w:val="a8"/>
    <w:rsid w:val="00FE1BA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2022-06-17T09:36:00Z</cp:lastPrinted>
  <dcterms:created xsi:type="dcterms:W3CDTF">2022-06-20T08:02:00Z</dcterms:created>
  <dcterms:modified xsi:type="dcterms:W3CDTF">2022-06-20T08:02:00Z</dcterms:modified>
</cp:coreProperties>
</file>