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63" w:rsidRDefault="00D954D3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D954D3">
        <w:rPr>
          <w:rFonts w:eastAsia="MS Mincho"/>
          <w:b/>
          <w:bCs/>
          <w:sz w:val="28"/>
          <w:szCs w:val="28"/>
        </w:rPr>
        <w:t>33180000-5 Апаратура для підтримування фізіологічних функцій організму (Ендопротези плечових суглобів, 2 лота)</w:t>
      </w:r>
    </w:p>
    <w:p w:rsidR="00D954D3" w:rsidRPr="001A02B9" w:rsidRDefault="00D954D3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D954D3" w:rsidRPr="0084562C" w:rsidRDefault="00D954D3" w:rsidP="00D954D3">
      <w:pPr>
        <w:jc w:val="both"/>
        <w:rPr>
          <w:sz w:val="24"/>
          <w:szCs w:val="24"/>
        </w:rPr>
      </w:pPr>
    </w:p>
    <w:p w:rsidR="005344AF" w:rsidRPr="005344AF" w:rsidRDefault="005344AF" w:rsidP="005344AF">
      <w:pPr>
        <w:ind w:firstLine="720"/>
        <w:jc w:val="both"/>
        <w:rPr>
          <w:sz w:val="24"/>
          <w:szCs w:val="24"/>
          <w:u w:val="single"/>
        </w:rPr>
      </w:pPr>
      <w:r w:rsidRPr="005344AF">
        <w:rPr>
          <w:sz w:val="24"/>
          <w:szCs w:val="24"/>
        </w:rPr>
        <w:t xml:space="preserve">Лот 1 - 33184100-4 Хірургічні імплантати - Анатомічний модульний ендопротез плечового суглоба </w:t>
      </w:r>
      <w:proofErr w:type="spellStart"/>
      <w:r w:rsidRPr="005344AF">
        <w:rPr>
          <w:sz w:val="24"/>
          <w:szCs w:val="24"/>
        </w:rPr>
        <w:t>безцементного</w:t>
      </w:r>
      <w:proofErr w:type="spellEnd"/>
      <w:r w:rsidRPr="005344AF">
        <w:rPr>
          <w:sz w:val="24"/>
          <w:szCs w:val="24"/>
        </w:rPr>
        <w:t xml:space="preserve"> типу фіксації для екстреного </w:t>
      </w:r>
      <w:proofErr w:type="spellStart"/>
      <w:r w:rsidRPr="005344AF">
        <w:rPr>
          <w:sz w:val="24"/>
          <w:szCs w:val="24"/>
        </w:rPr>
        <w:t>ендопротезування</w:t>
      </w:r>
      <w:proofErr w:type="spellEnd"/>
      <w:r w:rsidRPr="005344AF">
        <w:rPr>
          <w:sz w:val="24"/>
          <w:szCs w:val="24"/>
        </w:rPr>
        <w:t xml:space="preserve"> (33710 Ендопротез плечового суглоба частковий) - 12 шт.</w:t>
      </w:r>
    </w:p>
    <w:p w:rsidR="005344AF" w:rsidRPr="005344AF" w:rsidRDefault="005344AF" w:rsidP="005344AF">
      <w:pPr>
        <w:ind w:firstLine="720"/>
        <w:jc w:val="both"/>
        <w:rPr>
          <w:b/>
          <w:i/>
          <w:sz w:val="24"/>
          <w:szCs w:val="24"/>
        </w:rPr>
      </w:pPr>
      <w:r w:rsidRPr="005344AF">
        <w:rPr>
          <w:b/>
          <w:i/>
          <w:sz w:val="24"/>
          <w:szCs w:val="24"/>
        </w:rPr>
        <w:t>Спеціальні вимоги: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 xml:space="preserve">Конструкція складових частин ендопротезу має забезпечувати можливість його застосування для виконання операцій первинного </w:t>
      </w:r>
      <w:proofErr w:type="spellStart"/>
      <w:r w:rsidRPr="005344AF">
        <w:rPr>
          <w:sz w:val="24"/>
          <w:szCs w:val="24"/>
        </w:rPr>
        <w:t>ендопротезування</w:t>
      </w:r>
      <w:proofErr w:type="spellEnd"/>
      <w:r w:rsidRPr="005344AF">
        <w:rPr>
          <w:sz w:val="24"/>
          <w:szCs w:val="24"/>
        </w:rPr>
        <w:t xml:space="preserve"> плечового суглоба при використанні </w:t>
      </w:r>
      <w:proofErr w:type="spellStart"/>
      <w:r w:rsidRPr="005344AF">
        <w:rPr>
          <w:sz w:val="24"/>
          <w:szCs w:val="24"/>
        </w:rPr>
        <w:t>безцементної</w:t>
      </w:r>
      <w:proofErr w:type="spellEnd"/>
      <w:r w:rsidRPr="005344AF">
        <w:rPr>
          <w:sz w:val="24"/>
          <w:szCs w:val="24"/>
        </w:rPr>
        <w:t xml:space="preserve"> фіксації до поверхні кістки. </w:t>
      </w:r>
    </w:p>
    <w:p w:rsidR="005344AF" w:rsidRPr="005344AF" w:rsidRDefault="005344AF" w:rsidP="005344AF">
      <w:pPr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 xml:space="preserve">Компоненти ендопротезів мають постачатися в упакованому стерильному вигляді. 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>Ендопротези повинні мати кількість типорозмірів, які відповідають антропологічним характеристикам людини, і складатися з:</w:t>
      </w:r>
    </w:p>
    <w:p w:rsidR="005344AF" w:rsidRPr="005344AF" w:rsidRDefault="005344AF" w:rsidP="005344AF">
      <w:pPr>
        <w:pStyle w:val="ListParagraph"/>
        <w:widowControl/>
        <w:shd w:val="clear" w:color="auto" w:fill="FFFFFF"/>
        <w:autoSpaceDE/>
        <w:autoSpaceDN/>
        <w:adjustRightInd/>
        <w:jc w:val="both"/>
        <w:rPr>
          <w:b w:val="0"/>
          <w:sz w:val="24"/>
          <w:szCs w:val="24"/>
          <w:lang w:val="uk-UA"/>
        </w:rPr>
      </w:pPr>
      <w:r w:rsidRPr="005344AF">
        <w:rPr>
          <w:b w:val="0"/>
          <w:sz w:val="24"/>
          <w:szCs w:val="24"/>
          <w:lang w:val="uk-UA"/>
        </w:rPr>
        <w:t>плечового</w:t>
      </w:r>
      <w:r w:rsidRPr="005344AF">
        <w:rPr>
          <w:b w:val="0"/>
          <w:sz w:val="24"/>
          <w:szCs w:val="24"/>
        </w:rPr>
        <w:t xml:space="preserve"> компоненту </w:t>
      </w:r>
      <w:r w:rsidRPr="005344AF">
        <w:rPr>
          <w:b w:val="0"/>
          <w:sz w:val="24"/>
          <w:szCs w:val="24"/>
          <w:lang w:val="uk-UA"/>
        </w:rPr>
        <w:t xml:space="preserve">(ніжки) </w:t>
      </w:r>
      <w:proofErr w:type="spellStart"/>
      <w:r w:rsidRPr="005344AF">
        <w:rPr>
          <w:b w:val="0"/>
          <w:sz w:val="24"/>
          <w:szCs w:val="24"/>
          <w:lang w:val="uk-UA"/>
        </w:rPr>
        <w:t>безцементної</w:t>
      </w:r>
      <w:proofErr w:type="spellEnd"/>
      <w:r w:rsidRPr="005344AF">
        <w:rPr>
          <w:b w:val="0"/>
          <w:sz w:val="24"/>
          <w:szCs w:val="24"/>
          <w:lang w:val="uk-UA"/>
        </w:rPr>
        <w:t xml:space="preserve"> фіксації - 1 шт.;</w:t>
      </w:r>
    </w:p>
    <w:p w:rsidR="005344AF" w:rsidRPr="005344AF" w:rsidRDefault="005344AF" w:rsidP="005344AF">
      <w:pPr>
        <w:pStyle w:val="ListParagraph"/>
        <w:widowControl/>
        <w:shd w:val="clear" w:color="auto" w:fill="FFFFFF"/>
        <w:autoSpaceDE/>
        <w:autoSpaceDN/>
        <w:adjustRightInd/>
        <w:jc w:val="both"/>
        <w:rPr>
          <w:b w:val="0"/>
          <w:sz w:val="24"/>
          <w:szCs w:val="24"/>
        </w:rPr>
      </w:pPr>
      <w:proofErr w:type="spellStart"/>
      <w:r w:rsidRPr="005344AF">
        <w:rPr>
          <w:b w:val="0"/>
          <w:sz w:val="24"/>
          <w:szCs w:val="24"/>
          <w:lang w:val="uk-UA"/>
        </w:rPr>
        <w:t>метафізарного</w:t>
      </w:r>
      <w:proofErr w:type="spellEnd"/>
      <w:r w:rsidRPr="005344AF">
        <w:rPr>
          <w:b w:val="0"/>
          <w:sz w:val="24"/>
          <w:szCs w:val="24"/>
          <w:lang w:val="uk-UA"/>
        </w:rPr>
        <w:t xml:space="preserve"> плечового компоненту з плечовим ядром або модульної шийки - 1 шт.;</w:t>
      </w:r>
    </w:p>
    <w:p w:rsidR="005344AF" w:rsidRPr="005344AF" w:rsidRDefault="005344AF" w:rsidP="005344AF">
      <w:pPr>
        <w:pStyle w:val="ListParagraph"/>
        <w:widowControl/>
        <w:shd w:val="clear" w:color="auto" w:fill="FFFFFF"/>
        <w:autoSpaceDE/>
        <w:autoSpaceDN/>
        <w:adjustRightInd/>
        <w:jc w:val="both"/>
        <w:rPr>
          <w:b w:val="0"/>
          <w:sz w:val="24"/>
          <w:szCs w:val="24"/>
        </w:rPr>
      </w:pPr>
      <w:r w:rsidRPr="005344AF">
        <w:rPr>
          <w:b w:val="0"/>
          <w:sz w:val="24"/>
          <w:szCs w:val="24"/>
          <w:lang w:val="uk-UA"/>
        </w:rPr>
        <w:t>адаптера для анатомічної плечової голівки - 1 шт.;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>анатомічної плечової голівки - 1 шт.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b/>
          <w:i/>
          <w:iCs/>
          <w:sz w:val="24"/>
          <w:szCs w:val="24"/>
        </w:rPr>
      </w:pPr>
      <w:r w:rsidRPr="005344AF">
        <w:rPr>
          <w:sz w:val="24"/>
          <w:szCs w:val="24"/>
        </w:rPr>
        <w:t xml:space="preserve">Конструкція запропонованих складових частин </w:t>
      </w:r>
      <w:r w:rsidRPr="005344AF">
        <w:rPr>
          <w:bCs/>
          <w:sz w:val="24"/>
          <w:szCs w:val="24"/>
        </w:rPr>
        <w:t>анатомічного модульного ендопротезу плечового суглоба</w:t>
      </w:r>
      <w:r w:rsidRPr="005344AF">
        <w:rPr>
          <w:sz w:val="24"/>
          <w:szCs w:val="24"/>
        </w:rPr>
        <w:t xml:space="preserve"> має забезпечувати можливість його застосування для уніполярного протезування плечового суглоба за допомогою </w:t>
      </w:r>
      <w:proofErr w:type="spellStart"/>
      <w:r w:rsidRPr="005344AF">
        <w:rPr>
          <w:sz w:val="24"/>
          <w:szCs w:val="24"/>
        </w:rPr>
        <w:t>безцементної</w:t>
      </w:r>
      <w:proofErr w:type="spellEnd"/>
      <w:r w:rsidRPr="005344AF">
        <w:rPr>
          <w:sz w:val="24"/>
          <w:szCs w:val="24"/>
        </w:rPr>
        <w:t xml:space="preserve"> фіксації до поверхні кістки. Для забезпечення найбільш підходящого типу </w:t>
      </w:r>
      <w:proofErr w:type="spellStart"/>
      <w:r w:rsidRPr="005344AF">
        <w:rPr>
          <w:sz w:val="24"/>
          <w:szCs w:val="24"/>
        </w:rPr>
        <w:t>ендопротезування</w:t>
      </w:r>
      <w:proofErr w:type="spellEnd"/>
      <w:r w:rsidRPr="005344AF">
        <w:rPr>
          <w:sz w:val="24"/>
          <w:szCs w:val="24"/>
        </w:rPr>
        <w:t xml:space="preserve"> та досягнення найкращого післяопераційного результату, модульний ендопротез плечового суглоба повинен забезпечувати хірургу можливість під час операції перейти з анатомічного до реверсного </w:t>
      </w:r>
      <w:proofErr w:type="spellStart"/>
      <w:r w:rsidRPr="005344AF">
        <w:rPr>
          <w:sz w:val="24"/>
          <w:szCs w:val="24"/>
        </w:rPr>
        <w:t>ендопротезування</w:t>
      </w:r>
      <w:proofErr w:type="spellEnd"/>
      <w:r w:rsidRPr="005344AF">
        <w:rPr>
          <w:sz w:val="24"/>
          <w:szCs w:val="24"/>
        </w:rPr>
        <w:t xml:space="preserve"> плечового суглоба і навпаки. 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iCs/>
          <w:sz w:val="24"/>
          <w:szCs w:val="24"/>
        </w:rPr>
        <w:t>Вимоги до</w:t>
      </w:r>
      <w:r w:rsidRPr="005344AF">
        <w:rPr>
          <w:sz w:val="24"/>
          <w:szCs w:val="24"/>
        </w:rPr>
        <w:t xml:space="preserve"> плечового компоненту </w:t>
      </w:r>
      <w:proofErr w:type="spellStart"/>
      <w:r w:rsidRPr="005344AF">
        <w:rPr>
          <w:sz w:val="24"/>
          <w:szCs w:val="24"/>
        </w:rPr>
        <w:t>безцементної</w:t>
      </w:r>
      <w:proofErr w:type="spellEnd"/>
      <w:r w:rsidRPr="005344AF">
        <w:rPr>
          <w:sz w:val="24"/>
          <w:szCs w:val="24"/>
        </w:rPr>
        <w:t xml:space="preserve"> фіксації</w:t>
      </w:r>
      <w:r w:rsidRPr="005344AF">
        <w:rPr>
          <w:iCs/>
          <w:sz w:val="24"/>
          <w:szCs w:val="24"/>
        </w:rPr>
        <w:t>:</w:t>
      </w:r>
      <w:r w:rsidRPr="005344AF">
        <w:rPr>
          <w:i/>
          <w:iCs/>
          <w:sz w:val="24"/>
          <w:szCs w:val="24"/>
        </w:rPr>
        <w:t> </w:t>
      </w:r>
      <w:r w:rsidRPr="005344AF">
        <w:rPr>
          <w:sz w:val="24"/>
          <w:szCs w:val="24"/>
        </w:rPr>
        <w:t xml:space="preserve">конструкція плечового компоненту </w:t>
      </w:r>
      <w:proofErr w:type="spellStart"/>
      <w:r w:rsidRPr="005344AF">
        <w:rPr>
          <w:sz w:val="24"/>
          <w:szCs w:val="24"/>
        </w:rPr>
        <w:t>безцементної</w:t>
      </w:r>
      <w:proofErr w:type="spellEnd"/>
      <w:r w:rsidRPr="005344AF">
        <w:rPr>
          <w:sz w:val="24"/>
          <w:szCs w:val="24"/>
        </w:rPr>
        <w:t xml:space="preserve"> фіксації має відповідати антропологічним, анатомічним особливостям плечового суглоба людини. Плечовий компонент має бути виготовлений з біологічно інертних, корозійностійких, легких і міцних матеріалів та мати у проксимальній частині спеціальне покриття для кращої фіксації у кістці. Плечовий компонент обов’язково повинен мати ротаційну стабільність, яка має забезпечуватись крильцями, борознами, шипами тощо.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 xml:space="preserve">Враховуючи антропологічні особливості людини, </w:t>
      </w:r>
      <w:proofErr w:type="spellStart"/>
      <w:r w:rsidRPr="005344AF">
        <w:rPr>
          <w:sz w:val="24"/>
          <w:szCs w:val="24"/>
        </w:rPr>
        <w:t>безцементні</w:t>
      </w:r>
      <w:proofErr w:type="spellEnd"/>
      <w:r w:rsidRPr="005344AF">
        <w:rPr>
          <w:sz w:val="24"/>
          <w:szCs w:val="24"/>
        </w:rPr>
        <w:t xml:space="preserve"> плечові ніжки повинні мати не менш, ніж 11 типорозмірів. 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 xml:space="preserve">Конструктивно плечовий </w:t>
      </w:r>
      <w:proofErr w:type="spellStart"/>
      <w:r w:rsidRPr="005344AF">
        <w:rPr>
          <w:sz w:val="24"/>
          <w:szCs w:val="24"/>
        </w:rPr>
        <w:t>метафізарний</w:t>
      </w:r>
      <w:proofErr w:type="spellEnd"/>
      <w:r w:rsidRPr="005344AF">
        <w:rPr>
          <w:sz w:val="24"/>
          <w:szCs w:val="24"/>
        </w:rPr>
        <w:t xml:space="preserve"> компонент з плечовим ядром або модульна шийка можуть кріпитися гвинтовим або безгвинтовим способом та повинні забезпечувати від одного до трьох варіантів положення плечової голівки.   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>Конструкція адаптера для анатомічної плечової голівки має бути виготовлена з біологічно інертних, корозійностійких, легких і міцних матеріалів та мати не менше двох варіантів виконання. Конструктивно адаптер повинен забезпечувати ротаційну стабільність штучної голівки.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>Вимоги до анатомічної плечової голівки: Анатомічна плечова голівка має бути виготовлена з біологічно інертних, корозійностійких, легких і міцних матеріалів.</w:t>
      </w:r>
    </w:p>
    <w:p w:rsidR="005344AF" w:rsidRPr="005344AF" w:rsidRDefault="005344AF" w:rsidP="005344AF">
      <w:pPr>
        <w:shd w:val="clear" w:color="auto" w:fill="FFFFFF"/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>Враховуючи антропологічні особливості людини, анатомічна плечова голівка повинна мати не менш, ніж 8 типорозмірів.</w:t>
      </w:r>
    </w:p>
    <w:p w:rsidR="005344AF" w:rsidRPr="005344AF" w:rsidRDefault="005344AF" w:rsidP="005344AF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5344AF">
        <w:rPr>
          <w:b/>
          <w:bCs/>
          <w:color w:val="000000"/>
          <w:kern w:val="24"/>
          <w:sz w:val="24"/>
          <w:szCs w:val="24"/>
        </w:rPr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5344AF">
        <w:rPr>
          <w:b/>
          <w:bCs/>
          <w:iCs/>
          <w:sz w:val="24"/>
          <w:szCs w:val="24"/>
        </w:rPr>
        <w:t xml:space="preserve">Для підтвердження учасник надає </w:t>
      </w:r>
      <w:r w:rsidRPr="005344AF">
        <w:rPr>
          <w:b/>
          <w:bCs/>
          <w:sz w:val="24"/>
          <w:szCs w:val="24"/>
        </w:rPr>
        <w:t xml:space="preserve">таблицю, з посиланням на сторінку технічної документації виробника, </w:t>
      </w:r>
      <w:r w:rsidRPr="005344AF">
        <w:rPr>
          <w:b/>
          <w:bCs/>
          <w:sz w:val="24"/>
          <w:szCs w:val="24"/>
        </w:rPr>
        <w:lastRenderedPageBreak/>
        <w:t>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5344AF" w:rsidRPr="005344AF" w:rsidRDefault="005344AF" w:rsidP="005344AF">
      <w:pPr>
        <w:ind w:firstLine="720"/>
        <w:jc w:val="both"/>
        <w:rPr>
          <w:b/>
          <w:bCs/>
          <w:sz w:val="24"/>
          <w:szCs w:val="24"/>
        </w:rPr>
      </w:pPr>
      <w:r w:rsidRPr="005344AF">
        <w:rPr>
          <w:color w:val="000000"/>
          <w:kern w:val="24"/>
          <w:sz w:val="24"/>
          <w:szCs w:val="24"/>
        </w:rPr>
        <w:t>Замовник за своїми потребами має право вибрати будь-які типорозміри компонентів ендопротезів, на весь час використання ендопротезів.</w:t>
      </w:r>
      <w:r w:rsidRPr="005344AF">
        <w:rPr>
          <w:sz w:val="24"/>
          <w:szCs w:val="24"/>
        </w:rPr>
        <w:t xml:space="preserve"> </w:t>
      </w:r>
      <w:r w:rsidRPr="005344AF">
        <w:rPr>
          <w:b/>
          <w:bCs/>
          <w:sz w:val="24"/>
          <w:szCs w:val="24"/>
        </w:rPr>
        <w:t>Для підтвердження учасник надає відповідний гарантійний лист.</w:t>
      </w:r>
    </w:p>
    <w:p w:rsidR="005344AF" w:rsidRPr="005344AF" w:rsidRDefault="005344AF" w:rsidP="005344AF">
      <w:pPr>
        <w:ind w:firstLine="720"/>
        <w:jc w:val="both"/>
        <w:rPr>
          <w:sz w:val="24"/>
          <w:szCs w:val="24"/>
        </w:rPr>
      </w:pPr>
    </w:p>
    <w:p w:rsidR="005344AF" w:rsidRPr="005344AF" w:rsidRDefault="005344AF" w:rsidP="005344AF">
      <w:pPr>
        <w:ind w:firstLine="720"/>
        <w:jc w:val="both"/>
        <w:rPr>
          <w:sz w:val="24"/>
          <w:szCs w:val="24"/>
        </w:rPr>
      </w:pPr>
      <w:r w:rsidRPr="005344AF">
        <w:rPr>
          <w:sz w:val="24"/>
          <w:szCs w:val="24"/>
        </w:rPr>
        <w:t xml:space="preserve">Лот 2 - 33184100-4 Хірургічні імплантати - Реверсний модульний ендопротез плечового суглоба </w:t>
      </w:r>
      <w:proofErr w:type="spellStart"/>
      <w:r w:rsidRPr="005344AF">
        <w:rPr>
          <w:sz w:val="24"/>
          <w:szCs w:val="24"/>
        </w:rPr>
        <w:t>безцементного</w:t>
      </w:r>
      <w:proofErr w:type="spellEnd"/>
      <w:r w:rsidRPr="005344AF">
        <w:rPr>
          <w:sz w:val="24"/>
          <w:szCs w:val="24"/>
        </w:rPr>
        <w:t xml:space="preserve"> типу фіксації для планових оперативних втручань (33711 Ендопротез плечового суглоба повний реверсивний) - 11 шт.</w:t>
      </w:r>
    </w:p>
    <w:p w:rsidR="005344AF" w:rsidRPr="005344AF" w:rsidRDefault="005344AF" w:rsidP="005344AF">
      <w:pPr>
        <w:ind w:firstLine="720"/>
        <w:jc w:val="both"/>
        <w:rPr>
          <w:b/>
          <w:i/>
          <w:sz w:val="24"/>
          <w:szCs w:val="24"/>
        </w:rPr>
      </w:pPr>
      <w:r w:rsidRPr="005344AF">
        <w:rPr>
          <w:b/>
          <w:i/>
          <w:sz w:val="24"/>
          <w:szCs w:val="24"/>
        </w:rPr>
        <w:t>Спеціальні вимоги: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Конструкція складових частин ендопротезу має забезпечувати можливість його застосування для виконання операцій первинного </w:t>
      </w:r>
      <w:proofErr w:type="spellStart"/>
      <w:r w:rsidRPr="005344AF">
        <w:rPr>
          <w:rFonts w:ascii="Times New Roman" w:hAnsi="Times New Roman"/>
          <w:sz w:val="24"/>
          <w:szCs w:val="24"/>
        </w:rPr>
        <w:t>ендопротезування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плечового суглоба при використанні </w:t>
      </w:r>
      <w:proofErr w:type="spellStart"/>
      <w:r w:rsidRPr="005344AF">
        <w:rPr>
          <w:rFonts w:ascii="Times New Roman" w:hAnsi="Times New Roman"/>
          <w:sz w:val="24"/>
          <w:szCs w:val="24"/>
        </w:rPr>
        <w:t>безцементної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фіксації до поверхні кістки.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Компоненти ендопротезів мають постачатися в упакованому стерильному вигляді. 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>Ендопротези повинні мати кількість типорозмірів, які відповідають антропологічним характеристикам людини, і складатися з: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плечового компоненту (ніжки) </w:t>
      </w:r>
      <w:proofErr w:type="spellStart"/>
      <w:r w:rsidRPr="005344AF">
        <w:rPr>
          <w:rFonts w:ascii="Times New Roman" w:hAnsi="Times New Roman"/>
          <w:sz w:val="24"/>
          <w:szCs w:val="24"/>
        </w:rPr>
        <w:t>безцементної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фіксації - 1 шт.;</w:t>
      </w:r>
    </w:p>
    <w:p w:rsidR="005344AF" w:rsidRPr="005344AF" w:rsidRDefault="005344AF" w:rsidP="005344AF">
      <w:pPr>
        <w:pStyle w:val="ListParagraph"/>
        <w:shd w:val="clear" w:color="auto" w:fill="FFFFFF"/>
        <w:ind w:left="0" w:firstLine="709"/>
        <w:jc w:val="both"/>
        <w:rPr>
          <w:b w:val="0"/>
          <w:sz w:val="24"/>
          <w:szCs w:val="24"/>
        </w:rPr>
      </w:pPr>
      <w:proofErr w:type="spellStart"/>
      <w:r w:rsidRPr="005344AF">
        <w:rPr>
          <w:b w:val="0"/>
          <w:sz w:val="24"/>
          <w:szCs w:val="24"/>
          <w:lang w:val="uk-UA"/>
        </w:rPr>
        <w:t>метафізарного</w:t>
      </w:r>
      <w:proofErr w:type="spellEnd"/>
      <w:r w:rsidRPr="005344AF">
        <w:rPr>
          <w:b w:val="0"/>
          <w:sz w:val="24"/>
          <w:szCs w:val="24"/>
          <w:lang w:val="uk-UA"/>
        </w:rPr>
        <w:t xml:space="preserve"> плечового компоненту з плечовим ядром або реверсної шийки - 1 шт.;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>плечового вкладиша для реверсного протезування - 1 шт.;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44AF">
        <w:rPr>
          <w:rFonts w:ascii="Times New Roman" w:hAnsi="Times New Roman"/>
          <w:sz w:val="24"/>
          <w:szCs w:val="24"/>
        </w:rPr>
        <w:t>гленосфери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з адаптером або </w:t>
      </w:r>
      <w:proofErr w:type="spellStart"/>
      <w:r w:rsidRPr="005344AF">
        <w:rPr>
          <w:rFonts w:ascii="Times New Roman" w:hAnsi="Times New Roman"/>
          <w:sz w:val="24"/>
          <w:szCs w:val="24"/>
        </w:rPr>
        <w:t>конектором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для реверсного протезування - 1 шт.;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плоскої основи суглоба або </w:t>
      </w:r>
      <w:proofErr w:type="spellStart"/>
      <w:r w:rsidRPr="005344AF">
        <w:rPr>
          <w:rFonts w:ascii="Times New Roman" w:hAnsi="Times New Roman"/>
          <w:sz w:val="24"/>
          <w:szCs w:val="24"/>
        </w:rPr>
        <w:t>гленоїда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- 1 шт.;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>гвинта - 2 шт.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Конструкція запропонованих складових частин </w:t>
      </w:r>
      <w:r w:rsidRPr="005344AF">
        <w:rPr>
          <w:rFonts w:ascii="Times New Roman" w:hAnsi="Times New Roman"/>
          <w:bCs/>
          <w:sz w:val="24"/>
          <w:szCs w:val="24"/>
        </w:rPr>
        <w:t>реверсного модульного ендопротезу плечового суглоба</w:t>
      </w:r>
      <w:r w:rsidRPr="005344AF">
        <w:rPr>
          <w:rFonts w:ascii="Times New Roman" w:hAnsi="Times New Roman"/>
          <w:sz w:val="24"/>
          <w:szCs w:val="24"/>
        </w:rPr>
        <w:t xml:space="preserve"> має забезпечувати можливість його застосування для реверсного протезування плечового суглоба за допомогою </w:t>
      </w:r>
      <w:proofErr w:type="spellStart"/>
      <w:r w:rsidRPr="005344AF">
        <w:rPr>
          <w:rFonts w:ascii="Times New Roman" w:hAnsi="Times New Roman"/>
          <w:sz w:val="24"/>
          <w:szCs w:val="24"/>
        </w:rPr>
        <w:t>безцементної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фіксації до поверхні кістки. 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Для забезпечення найбільш підходящого типу </w:t>
      </w:r>
      <w:proofErr w:type="spellStart"/>
      <w:r w:rsidRPr="005344AF">
        <w:rPr>
          <w:rFonts w:ascii="Times New Roman" w:hAnsi="Times New Roman"/>
          <w:sz w:val="24"/>
          <w:szCs w:val="24"/>
        </w:rPr>
        <w:t>ендопротезування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та досягнення найкращого післяопераційного результату модульний ендопротез плечового суглоба повинен забезпечувати хірургу можливість під час операції перейти з анатомічного до реверсного </w:t>
      </w:r>
      <w:proofErr w:type="spellStart"/>
      <w:r w:rsidRPr="005344AF">
        <w:rPr>
          <w:rFonts w:ascii="Times New Roman" w:hAnsi="Times New Roman"/>
          <w:sz w:val="24"/>
          <w:szCs w:val="24"/>
        </w:rPr>
        <w:t>ендопротезування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плечового суглоба і навпаки. 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iCs/>
          <w:sz w:val="24"/>
          <w:szCs w:val="24"/>
        </w:rPr>
        <w:t>Вимоги до</w:t>
      </w:r>
      <w:r w:rsidRPr="005344AF">
        <w:rPr>
          <w:rFonts w:ascii="Times New Roman" w:hAnsi="Times New Roman"/>
          <w:sz w:val="24"/>
          <w:szCs w:val="24"/>
        </w:rPr>
        <w:t xml:space="preserve"> плечового компоненту </w:t>
      </w:r>
      <w:proofErr w:type="spellStart"/>
      <w:r w:rsidRPr="005344AF">
        <w:rPr>
          <w:rFonts w:ascii="Times New Roman" w:hAnsi="Times New Roman"/>
          <w:sz w:val="24"/>
          <w:szCs w:val="24"/>
        </w:rPr>
        <w:t>безцементної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фіксації</w:t>
      </w:r>
      <w:r w:rsidRPr="005344AF">
        <w:rPr>
          <w:rFonts w:ascii="Times New Roman" w:hAnsi="Times New Roman"/>
          <w:iCs/>
          <w:sz w:val="24"/>
          <w:szCs w:val="24"/>
        </w:rPr>
        <w:t>:</w:t>
      </w:r>
      <w:r w:rsidRPr="005344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344AF">
        <w:rPr>
          <w:rFonts w:ascii="Times New Roman" w:hAnsi="Times New Roman"/>
          <w:iCs/>
          <w:sz w:val="24"/>
          <w:szCs w:val="24"/>
        </w:rPr>
        <w:t>к</w:t>
      </w:r>
      <w:r w:rsidRPr="005344AF">
        <w:rPr>
          <w:rFonts w:ascii="Times New Roman" w:hAnsi="Times New Roman"/>
          <w:sz w:val="24"/>
          <w:szCs w:val="24"/>
        </w:rPr>
        <w:t xml:space="preserve">онструкція плечового компоненту </w:t>
      </w:r>
      <w:proofErr w:type="spellStart"/>
      <w:r w:rsidRPr="005344AF">
        <w:rPr>
          <w:rFonts w:ascii="Times New Roman" w:hAnsi="Times New Roman"/>
          <w:sz w:val="24"/>
          <w:szCs w:val="24"/>
        </w:rPr>
        <w:t>безцементної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фіксації  має відповідати антропологічним, анатомічним особливостям плечового суглоба людини. Плечовий компонент має бути виготовлений з біологічно інертних, корозійностійких, легких і міцних матеріалів, та мати у проксимальній частині спеціальне покриття для кращої фіксації у кістці. Плечовий компонент обов’язково повинен мати ротаційну стабільність, яка має забезпечуватись крильцями, борознами, шипами тощо.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Враховуючи антропологічні особливості людини, </w:t>
      </w:r>
      <w:proofErr w:type="spellStart"/>
      <w:r w:rsidRPr="005344AF">
        <w:rPr>
          <w:rFonts w:ascii="Times New Roman" w:hAnsi="Times New Roman"/>
          <w:sz w:val="24"/>
          <w:szCs w:val="24"/>
        </w:rPr>
        <w:t>безцементні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плечові ніжки повинні мати не менш, ніж 11 типорозмірів. </w:t>
      </w:r>
    </w:p>
    <w:p w:rsidR="005344AF" w:rsidRPr="005344AF" w:rsidRDefault="005344AF" w:rsidP="005344AF">
      <w:pPr>
        <w:shd w:val="clear" w:color="auto" w:fill="FFFFFF"/>
        <w:ind w:firstLine="709"/>
        <w:jc w:val="both"/>
        <w:rPr>
          <w:sz w:val="24"/>
          <w:szCs w:val="24"/>
        </w:rPr>
      </w:pPr>
      <w:r w:rsidRPr="005344AF">
        <w:rPr>
          <w:sz w:val="24"/>
          <w:szCs w:val="24"/>
        </w:rPr>
        <w:t xml:space="preserve">Конструктивно плечовий </w:t>
      </w:r>
      <w:proofErr w:type="spellStart"/>
      <w:r w:rsidRPr="005344AF">
        <w:rPr>
          <w:sz w:val="24"/>
          <w:szCs w:val="24"/>
        </w:rPr>
        <w:t>метафізарний</w:t>
      </w:r>
      <w:proofErr w:type="spellEnd"/>
      <w:r w:rsidRPr="005344AF">
        <w:rPr>
          <w:sz w:val="24"/>
          <w:szCs w:val="24"/>
        </w:rPr>
        <w:t xml:space="preserve"> компонент з плечовим ядром або реверсна шийка можуть кріпитися гвинтовим або безгвинтовим способом.   </w:t>
      </w:r>
    </w:p>
    <w:p w:rsidR="005344AF" w:rsidRPr="005344AF" w:rsidRDefault="005344AF" w:rsidP="005344AF">
      <w:pPr>
        <w:shd w:val="clear" w:color="auto" w:fill="FFFFFF"/>
        <w:ind w:firstLine="709"/>
        <w:jc w:val="both"/>
        <w:rPr>
          <w:sz w:val="24"/>
          <w:szCs w:val="24"/>
        </w:rPr>
      </w:pPr>
      <w:r w:rsidRPr="005344AF">
        <w:rPr>
          <w:sz w:val="24"/>
          <w:szCs w:val="24"/>
        </w:rPr>
        <w:t>Плечовий вкладиш для реверсного протезування має бути виготовлений з біологічно інертних, корозійностійких, легких і міцних матеріалів та мати не менше трьох типорозмірів для забезпечення найбільш доцільного положення голівки. Конструктивно вкладиш повинен забезпечувати ротаційну стабільність штучної голівки.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Вимоги до </w:t>
      </w:r>
      <w:proofErr w:type="spellStart"/>
      <w:r w:rsidRPr="005344AF">
        <w:rPr>
          <w:rFonts w:ascii="Times New Roman" w:hAnsi="Times New Roman"/>
          <w:sz w:val="24"/>
          <w:szCs w:val="24"/>
        </w:rPr>
        <w:t>гленосфери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з адаптером або </w:t>
      </w:r>
      <w:proofErr w:type="spellStart"/>
      <w:r w:rsidRPr="005344AF">
        <w:rPr>
          <w:rFonts w:ascii="Times New Roman" w:hAnsi="Times New Roman"/>
          <w:sz w:val="24"/>
          <w:szCs w:val="24"/>
        </w:rPr>
        <w:t>конектором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для реверсного протезування: </w:t>
      </w:r>
      <w:proofErr w:type="spellStart"/>
      <w:r w:rsidRPr="005344AF">
        <w:rPr>
          <w:rFonts w:ascii="Times New Roman" w:hAnsi="Times New Roman"/>
          <w:sz w:val="24"/>
          <w:szCs w:val="24"/>
        </w:rPr>
        <w:t>гленосфера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з адаптером чи </w:t>
      </w:r>
      <w:proofErr w:type="spellStart"/>
      <w:r w:rsidRPr="005344AF">
        <w:rPr>
          <w:rFonts w:ascii="Times New Roman" w:hAnsi="Times New Roman"/>
          <w:sz w:val="24"/>
          <w:szCs w:val="24"/>
        </w:rPr>
        <w:t>конектором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для реверсного протезування має бути виготовлена з біологічно інертних, корозійностійких, легких і міцних матеріалів та кріпитися гвинтовим або безгвинтовим способом.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lastRenderedPageBreak/>
        <w:t xml:space="preserve">Враховуючи антропологічні особливості людини, </w:t>
      </w:r>
      <w:proofErr w:type="spellStart"/>
      <w:r w:rsidRPr="005344AF">
        <w:rPr>
          <w:rFonts w:ascii="Times New Roman" w:hAnsi="Times New Roman"/>
          <w:sz w:val="24"/>
          <w:szCs w:val="24"/>
        </w:rPr>
        <w:t>гленосфера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для реверсного протезування повинна мати від 2 до 6 типорозмірів.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Конструкція плоскої основи суглоба або </w:t>
      </w:r>
      <w:proofErr w:type="spellStart"/>
      <w:r w:rsidRPr="005344AF">
        <w:rPr>
          <w:rFonts w:ascii="Times New Roman" w:hAnsi="Times New Roman"/>
          <w:sz w:val="24"/>
          <w:szCs w:val="24"/>
        </w:rPr>
        <w:t>гленоїда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має відповідати антропологічним, анатомічним особливостям плечового суглоба людини. Повинна бути виготовлена з біологічно інертних, корозійностійких, легких і міцних матеріалів. Плоска основа суглоба або </w:t>
      </w:r>
      <w:proofErr w:type="spellStart"/>
      <w:r w:rsidRPr="005344AF">
        <w:rPr>
          <w:rFonts w:ascii="Times New Roman" w:hAnsi="Times New Roman"/>
          <w:sz w:val="24"/>
          <w:szCs w:val="24"/>
        </w:rPr>
        <w:t>гленоїд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повинна мати можливість кріпитися до кістки </w:t>
      </w:r>
      <w:proofErr w:type="spellStart"/>
      <w:r w:rsidRPr="005344AF">
        <w:rPr>
          <w:rFonts w:ascii="Times New Roman" w:hAnsi="Times New Roman"/>
          <w:sz w:val="24"/>
          <w:szCs w:val="24"/>
        </w:rPr>
        <w:t>безцементним</w:t>
      </w:r>
      <w:proofErr w:type="spellEnd"/>
      <w:r w:rsidRPr="005344AF">
        <w:rPr>
          <w:rFonts w:ascii="Times New Roman" w:hAnsi="Times New Roman"/>
          <w:sz w:val="24"/>
          <w:szCs w:val="24"/>
        </w:rPr>
        <w:t xml:space="preserve"> способом з гвинтовими або безгвинтовими варіантами виконання та мати не менше чотирьох типорозмірів.</w:t>
      </w:r>
    </w:p>
    <w:p w:rsidR="005344AF" w:rsidRPr="005344AF" w:rsidRDefault="005344AF" w:rsidP="005344AF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  <w:r w:rsidRPr="005344AF">
        <w:rPr>
          <w:rFonts w:ascii="Times New Roman" w:hAnsi="Times New Roman"/>
          <w:sz w:val="24"/>
          <w:szCs w:val="24"/>
        </w:rPr>
        <w:t xml:space="preserve">Гвинти повинні бути виготовлені з біологічно інертних, корозостійких та міцних матеріалів. Мати не менше двох типорозмірів для кріплення відповідних частин </w:t>
      </w:r>
      <w:proofErr w:type="spellStart"/>
      <w:r w:rsidRPr="005344AF">
        <w:rPr>
          <w:rFonts w:ascii="Times New Roman" w:hAnsi="Times New Roman"/>
          <w:sz w:val="24"/>
          <w:szCs w:val="24"/>
        </w:rPr>
        <w:t>імплантів</w:t>
      </w:r>
      <w:proofErr w:type="spellEnd"/>
      <w:r w:rsidRPr="005344AF">
        <w:rPr>
          <w:rFonts w:ascii="Times New Roman" w:hAnsi="Times New Roman"/>
          <w:sz w:val="24"/>
          <w:szCs w:val="24"/>
        </w:rPr>
        <w:t>.</w:t>
      </w:r>
    </w:p>
    <w:p w:rsidR="005344AF" w:rsidRPr="005344AF" w:rsidRDefault="005344AF" w:rsidP="005344AF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5344AF">
        <w:rPr>
          <w:b/>
          <w:bCs/>
          <w:color w:val="000000"/>
          <w:kern w:val="24"/>
          <w:sz w:val="24"/>
          <w:szCs w:val="24"/>
        </w:rPr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5344AF">
        <w:rPr>
          <w:b/>
          <w:bCs/>
          <w:iCs/>
          <w:sz w:val="24"/>
          <w:szCs w:val="24"/>
        </w:rPr>
        <w:t xml:space="preserve">Для підтвердження учасник надає </w:t>
      </w:r>
      <w:r w:rsidRPr="005344AF">
        <w:rPr>
          <w:b/>
          <w:bCs/>
          <w:sz w:val="24"/>
          <w:szCs w:val="24"/>
        </w:rPr>
        <w:t>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5344AF" w:rsidRPr="005344AF" w:rsidRDefault="005344AF" w:rsidP="005344AF">
      <w:pPr>
        <w:ind w:right="15" w:firstLine="709"/>
        <w:contextualSpacing/>
        <w:jc w:val="both"/>
        <w:rPr>
          <w:b/>
          <w:bCs/>
          <w:sz w:val="24"/>
          <w:szCs w:val="24"/>
        </w:rPr>
      </w:pPr>
      <w:r w:rsidRPr="005344AF">
        <w:rPr>
          <w:color w:val="000000"/>
          <w:kern w:val="24"/>
          <w:sz w:val="24"/>
          <w:szCs w:val="24"/>
        </w:rPr>
        <w:t>Замовник за своїми потребами має право вибрати будь-які типорозміри компонентів ендопротезів, на весь час використання ендопротезів.</w:t>
      </w:r>
      <w:r w:rsidRPr="005344AF">
        <w:rPr>
          <w:sz w:val="24"/>
          <w:szCs w:val="24"/>
        </w:rPr>
        <w:t xml:space="preserve"> </w:t>
      </w:r>
      <w:r w:rsidRPr="005344AF">
        <w:rPr>
          <w:b/>
          <w:bCs/>
          <w:sz w:val="24"/>
          <w:szCs w:val="24"/>
        </w:rPr>
        <w:t>Для підтвердження учасник надає відповідний гарантійний лист.</w:t>
      </w:r>
    </w:p>
    <w:p w:rsidR="005344AF" w:rsidRPr="005344AF" w:rsidRDefault="005344AF" w:rsidP="005344AF">
      <w:pPr>
        <w:ind w:right="15" w:firstLine="709"/>
        <w:contextualSpacing/>
        <w:jc w:val="both"/>
        <w:rPr>
          <w:b/>
          <w:bCs/>
          <w:sz w:val="24"/>
          <w:szCs w:val="24"/>
        </w:rPr>
      </w:pPr>
    </w:p>
    <w:p w:rsidR="005344AF" w:rsidRPr="005344AF" w:rsidRDefault="005344AF" w:rsidP="005344AF">
      <w:pPr>
        <w:ind w:right="15" w:firstLine="709"/>
        <w:contextualSpacing/>
        <w:jc w:val="both"/>
        <w:rPr>
          <w:b/>
          <w:bCs/>
          <w:sz w:val="24"/>
          <w:szCs w:val="24"/>
        </w:rPr>
      </w:pPr>
      <w:r w:rsidRPr="005344AF">
        <w:rPr>
          <w:b/>
          <w:bCs/>
          <w:sz w:val="24"/>
          <w:szCs w:val="24"/>
        </w:rPr>
        <w:t>Загальні вимоги:</w:t>
      </w:r>
    </w:p>
    <w:p w:rsidR="005344AF" w:rsidRPr="005344AF" w:rsidRDefault="005344AF" w:rsidP="005344AF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344AF">
        <w:rPr>
          <w:rFonts w:eastAsia="Calibri"/>
          <w:lang w:eastAsia="en-US"/>
        </w:rPr>
        <w:t>1. Виробництво продукції повинно відповідати міжнародному стандарту якості по системі контролю ISO13485:2003, або ISO13485:2016, або ДСТУ ЕN ISO13485:2015, що має бути підтверджено відповідним документом.</w:t>
      </w:r>
    </w:p>
    <w:p w:rsidR="005344AF" w:rsidRPr="005344AF" w:rsidRDefault="005344AF" w:rsidP="005344AF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344AF">
        <w:rPr>
          <w:rFonts w:eastAsia="Calibri"/>
          <w:lang w:eastAsia="en-US"/>
        </w:rPr>
        <w:t>2. Постачальник зобов`язаний забезпечити лікувальний заклад необхідними інструментами для проведення оперативних втручань, належним чином зареєстрованими, на період використання ендопротезів. Для підтвердження учасник надає лист в довільній формі.</w:t>
      </w:r>
    </w:p>
    <w:p w:rsidR="005344AF" w:rsidRPr="005344AF" w:rsidRDefault="005344AF" w:rsidP="005344AF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344AF">
        <w:rPr>
          <w:rFonts w:eastAsia="Calibri"/>
          <w:lang w:eastAsia="en-US"/>
        </w:rPr>
        <w:t xml:space="preserve">3. Медичні вироби (окрім кісткового цементу) та інструменти для їх імплантації повинні бути одного й того ж виробника та відповідати вимогам Технічного регламенту щодо медичних виробів або Технічного регламенту щодо медичних виробів для діагностики </w:t>
      </w:r>
      <w:proofErr w:type="spellStart"/>
      <w:r w:rsidRPr="005344AF">
        <w:rPr>
          <w:rFonts w:eastAsia="Calibri"/>
          <w:lang w:eastAsia="en-US"/>
        </w:rPr>
        <w:t>in</w:t>
      </w:r>
      <w:proofErr w:type="spellEnd"/>
      <w:r w:rsidRPr="005344AF">
        <w:rPr>
          <w:rFonts w:eastAsia="Calibri"/>
          <w:lang w:eastAsia="en-US"/>
        </w:rPr>
        <w:t xml:space="preserve"> </w:t>
      </w:r>
      <w:proofErr w:type="spellStart"/>
      <w:r w:rsidRPr="005344AF">
        <w:rPr>
          <w:rFonts w:eastAsia="Calibri"/>
          <w:lang w:eastAsia="en-US"/>
        </w:rPr>
        <w:t>vitro</w:t>
      </w:r>
      <w:proofErr w:type="spellEnd"/>
      <w:r w:rsidRPr="005344AF">
        <w:rPr>
          <w:rFonts w:eastAsia="Calibri"/>
          <w:lang w:eastAsia="en-US"/>
        </w:rPr>
        <w:t xml:space="preserve"> або Технічного регламенту щодо активних медичних виробів, які імплантують. Для підтвердження учасник повинен надати відповідний гарантійний лист та копію відповідного документу або лист-роз’яснення щодо його відсутності. </w:t>
      </w:r>
    </w:p>
    <w:p w:rsidR="005344AF" w:rsidRPr="005344AF" w:rsidRDefault="005344AF" w:rsidP="005344AF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344AF">
        <w:rPr>
          <w:rFonts w:eastAsia="Calibri"/>
          <w:lang w:eastAsia="en-US"/>
        </w:rPr>
        <w:t xml:space="preserve">Кістковий цемент може бути від іншого виробника, якщо він відповідає вимогам технічної документації. </w:t>
      </w:r>
    </w:p>
    <w:p w:rsidR="005344AF" w:rsidRPr="005344AF" w:rsidRDefault="005344AF" w:rsidP="005344AF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344AF">
        <w:rPr>
          <w:rFonts w:eastAsia="Calibri"/>
          <w:lang w:eastAsia="en-US"/>
        </w:rPr>
        <w:t>4. Компоненти ендопротезів мають постачатися в упакованому стерильному вигляді зі строком стерильності не менше 5 років. Їх стерильність має підтверджуватись відповідними документами.</w:t>
      </w:r>
    </w:p>
    <w:p w:rsidR="005344AF" w:rsidRPr="005344AF" w:rsidRDefault="005344AF" w:rsidP="005344AF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344AF">
        <w:rPr>
          <w:rFonts w:eastAsia="Calibri"/>
          <w:lang w:eastAsia="en-US"/>
        </w:rPr>
        <w:t xml:space="preserve">5. Комплекти інструментів для виконання </w:t>
      </w:r>
      <w:proofErr w:type="spellStart"/>
      <w:r w:rsidRPr="005344AF">
        <w:rPr>
          <w:rFonts w:eastAsia="Calibri"/>
          <w:lang w:eastAsia="en-US"/>
        </w:rPr>
        <w:t>ендопротезування</w:t>
      </w:r>
      <w:proofErr w:type="spellEnd"/>
      <w:r w:rsidRPr="005344AF">
        <w:rPr>
          <w:rFonts w:eastAsia="Calibri"/>
          <w:lang w:eastAsia="en-US"/>
        </w:rPr>
        <w:t xml:space="preserve"> повинні складатися з необхідних і достатніх пристосувань для зручної і надійної імплантації компонентів ендопротезів згідно з хірургічною методикою та складатися з необхідних складових, що дозволяють якісну імплантацію ендопротезу. Всі інструменти для виконання </w:t>
      </w:r>
      <w:proofErr w:type="spellStart"/>
      <w:r w:rsidRPr="005344AF">
        <w:rPr>
          <w:rFonts w:eastAsia="Calibri"/>
          <w:lang w:eastAsia="en-US"/>
        </w:rPr>
        <w:t>ендопротезування</w:t>
      </w:r>
      <w:proofErr w:type="spellEnd"/>
      <w:r w:rsidRPr="005344AF">
        <w:rPr>
          <w:rFonts w:eastAsia="Calibri"/>
          <w:lang w:eastAsia="en-US"/>
        </w:rPr>
        <w:t xml:space="preserve"> мають бути належним чином зареєстровані на території України. Для підтвердження учасник надає лист в довільній формі.</w:t>
      </w:r>
    </w:p>
    <w:p w:rsidR="005344AF" w:rsidRPr="005344AF" w:rsidRDefault="005344AF" w:rsidP="005344AF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344AF">
        <w:rPr>
          <w:rFonts w:eastAsia="Calibri"/>
          <w:lang w:eastAsia="en-US"/>
        </w:rPr>
        <w:t>6. Строк поставки товару повинен становити не більше 10 днів з моменту отримання письмової заявки. Для підтвердження учасник надає гарантійний лист про строк поставки товару.</w:t>
      </w:r>
    </w:p>
    <w:p w:rsidR="005344AF" w:rsidRPr="005344AF" w:rsidRDefault="005344AF" w:rsidP="005344AF">
      <w:pPr>
        <w:tabs>
          <w:tab w:val="left" w:pos="1080"/>
        </w:tabs>
        <w:ind w:right="15" w:firstLine="720"/>
        <w:contextualSpacing/>
        <w:jc w:val="both"/>
        <w:rPr>
          <w:bCs/>
          <w:sz w:val="24"/>
          <w:szCs w:val="24"/>
        </w:rPr>
      </w:pPr>
      <w:r w:rsidRPr="005344AF">
        <w:rPr>
          <w:bCs/>
          <w:sz w:val="24"/>
          <w:szCs w:val="24"/>
        </w:rPr>
        <w:t>7.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532E0E" w:rsidRDefault="00532E0E" w:rsidP="00532E0E">
      <w:pPr>
        <w:jc w:val="center"/>
        <w:rPr>
          <w:b/>
          <w:bCs/>
          <w:sz w:val="24"/>
          <w:szCs w:val="24"/>
        </w:rPr>
      </w:pPr>
    </w:p>
    <w:p w:rsidR="00532E0E" w:rsidRPr="0084562C" w:rsidRDefault="00532E0E" w:rsidP="00532E0E">
      <w:pPr>
        <w:jc w:val="center"/>
        <w:rPr>
          <w:b/>
          <w:bCs/>
          <w:sz w:val="24"/>
          <w:szCs w:val="24"/>
        </w:rPr>
      </w:pPr>
      <w:r w:rsidRPr="0084562C">
        <w:rPr>
          <w:b/>
          <w:bCs/>
          <w:sz w:val="24"/>
          <w:szCs w:val="24"/>
        </w:rPr>
        <w:t>Форма тендерної пропозиції</w:t>
      </w:r>
    </w:p>
    <w:p w:rsidR="00532E0E" w:rsidRPr="0084562C" w:rsidRDefault="00532E0E" w:rsidP="00532E0E">
      <w:pPr>
        <w:jc w:val="center"/>
        <w:rPr>
          <w:bCs/>
          <w:iCs/>
        </w:rPr>
      </w:pPr>
    </w:p>
    <w:p w:rsidR="00532E0E" w:rsidRPr="0084562C" w:rsidRDefault="00532E0E" w:rsidP="00532E0E">
      <w:pPr>
        <w:jc w:val="center"/>
        <w:rPr>
          <w:bCs/>
          <w:iCs/>
        </w:rPr>
      </w:pPr>
      <w:r w:rsidRPr="0084562C">
        <w:rPr>
          <w:bCs/>
          <w:iCs/>
        </w:rPr>
        <w:t>(назва процедури закупівлі)</w:t>
      </w:r>
    </w:p>
    <w:p w:rsidR="00532E0E" w:rsidRPr="0084562C" w:rsidRDefault="00532E0E" w:rsidP="00532E0E">
      <w:pPr>
        <w:jc w:val="center"/>
        <w:rPr>
          <w:bCs/>
          <w:iCs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2162"/>
        <w:gridCol w:w="1800"/>
        <w:gridCol w:w="1260"/>
        <w:gridCol w:w="1440"/>
      </w:tblGrid>
      <w:tr w:rsidR="00532E0E" w:rsidRPr="0084562C" w:rsidTr="00532E0E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left="-142" w:right="-97"/>
              <w:jc w:val="center"/>
            </w:pPr>
            <w:r w:rsidRPr="0084562C">
              <w:t>№ лоту/</w:t>
            </w:r>
          </w:p>
          <w:p w:rsidR="00532E0E" w:rsidRPr="0084562C" w:rsidRDefault="00532E0E" w:rsidP="00532E0E">
            <w:pPr>
              <w:ind w:left="-142" w:right="-97"/>
              <w:jc w:val="center"/>
            </w:pPr>
            <w:r w:rsidRPr="0084562C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left="78" w:hanging="78"/>
              <w:jc w:val="center"/>
            </w:pPr>
            <w:r w:rsidRPr="0084562C">
              <w:t>Найменування предмету закупівлі/товару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33"/>
              <w:jc w:val="center"/>
            </w:pPr>
            <w:r w:rsidRPr="0084562C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  <w:r w:rsidRPr="0084562C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  <w:r w:rsidRPr="0084562C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  <w:r w:rsidRPr="0084562C">
              <w:t>Кількість,</w:t>
            </w:r>
          </w:p>
          <w:p w:rsidR="00532E0E" w:rsidRPr="0084562C" w:rsidRDefault="00532E0E" w:rsidP="00532E0E">
            <w:pPr>
              <w:jc w:val="center"/>
            </w:pPr>
            <w:r w:rsidRPr="0084562C">
              <w:t>од.</w:t>
            </w:r>
          </w:p>
        </w:tc>
      </w:tr>
      <w:tr w:rsidR="00532E0E" w:rsidRPr="0084562C" w:rsidTr="00532E0E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/>
          <w:p w:rsidR="00532E0E" w:rsidRPr="0084562C" w:rsidRDefault="00532E0E" w:rsidP="00532E0E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/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284"/>
              <w:jc w:val="center"/>
            </w:pPr>
          </w:p>
        </w:tc>
      </w:tr>
    </w:tbl>
    <w:p w:rsidR="00532E0E" w:rsidRPr="0084562C" w:rsidRDefault="00532E0E" w:rsidP="00532E0E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532E0E" w:rsidRPr="0084562C" w:rsidTr="00532E0E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>( П.І.Б.)</w:t>
            </w:r>
          </w:p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 xml:space="preserve">М. П.*                                     </w:t>
            </w:r>
          </w:p>
        </w:tc>
      </w:tr>
    </w:tbl>
    <w:p w:rsidR="00532E0E" w:rsidRPr="0084562C" w:rsidRDefault="00532E0E" w:rsidP="00532E0E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 w:rsidRPr="0084562C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532E0E" w:rsidRPr="0084562C" w:rsidRDefault="00532E0E" w:rsidP="00532E0E">
      <w:pPr>
        <w:ind w:firstLine="708"/>
        <w:jc w:val="both"/>
        <w:rPr>
          <w:bCs/>
        </w:rPr>
      </w:pPr>
      <w:r w:rsidRPr="0084562C">
        <w:rPr>
          <w:bCs/>
          <w:iCs/>
        </w:rPr>
        <w:t>**</w:t>
      </w:r>
      <w:r w:rsidRPr="0084562C">
        <w:rPr>
          <w:bCs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532E0E" w:rsidRPr="0084562C" w:rsidRDefault="00532E0E" w:rsidP="00532E0E">
      <w:pPr>
        <w:ind w:firstLine="708"/>
        <w:jc w:val="both"/>
        <w:rPr>
          <w:sz w:val="24"/>
          <w:szCs w:val="24"/>
        </w:rPr>
      </w:pPr>
    </w:p>
    <w:p w:rsidR="00520BEA" w:rsidRPr="003C4207" w:rsidRDefault="00520BEA" w:rsidP="003C4207">
      <w:pPr>
        <w:pStyle w:val="a9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Default="00353F89" w:rsidP="000D248A">
      <w:pPr>
        <w:jc w:val="both"/>
        <w:rPr>
          <w:rFonts w:eastAsia="MS Mincho"/>
          <w:sz w:val="28"/>
          <w:szCs w:val="28"/>
        </w:rPr>
      </w:pPr>
      <w:r w:rsidRPr="00353F89">
        <w:rPr>
          <w:b/>
          <w:bCs/>
          <w:sz w:val="28"/>
          <w:szCs w:val="28"/>
        </w:rPr>
        <w:t>1</w:t>
      </w:r>
      <w:r w:rsidR="000D248A" w:rsidRPr="000D248A">
        <w:rPr>
          <w:b/>
          <w:bCs/>
          <w:sz w:val="28"/>
          <w:szCs w:val="28"/>
          <w:lang w:val="ru-RU"/>
        </w:rPr>
        <w:t xml:space="preserve"> </w:t>
      </w:r>
      <w:r w:rsidRPr="00353F89">
        <w:rPr>
          <w:b/>
          <w:bCs/>
          <w:sz w:val="28"/>
          <w:szCs w:val="28"/>
        </w:rPr>
        <w:t>941</w:t>
      </w:r>
      <w:r w:rsidR="000D248A" w:rsidRPr="000D248A">
        <w:rPr>
          <w:b/>
          <w:bCs/>
          <w:sz w:val="28"/>
          <w:szCs w:val="28"/>
          <w:lang w:val="ru-RU"/>
        </w:rPr>
        <w:t xml:space="preserve"> </w:t>
      </w:r>
      <w:r w:rsidRPr="00353F89">
        <w:rPr>
          <w:b/>
          <w:bCs/>
          <w:sz w:val="28"/>
          <w:szCs w:val="28"/>
        </w:rPr>
        <w:t>40</w:t>
      </w:r>
      <w:r w:rsidRPr="000D248A">
        <w:rPr>
          <w:b/>
          <w:bCs/>
          <w:sz w:val="28"/>
          <w:szCs w:val="28"/>
        </w:rPr>
        <w:t>0</w:t>
      </w:r>
      <w:r w:rsidR="001F2E71" w:rsidRPr="001F2E71">
        <w:rPr>
          <w:b/>
          <w:bCs/>
          <w:sz w:val="28"/>
          <w:szCs w:val="28"/>
        </w:rPr>
        <w:t>,00</w:t>
      </w:r>
      <w:r w:rsidR="000D248A" w:rsidRPr="000D248A">
        <w:rPr>
          <w:b/>
          <w:bCs/>
          <w:sz w:val="28"/>
          <w:szCs w:val="28"/>
          <w:lang w:val="ru-RU"/>
        </w:rPr>
        <w:t xml:space="preserve"> </w:t>
      </w:r>
      <w:r w:rsidR="000679FE" w:rsidRPr="000679FE">
        <w:rPr>
          <w:b/>
          <w:bCs/>
          <w:sz w:val="28"/>
          <w:szCs w:val="28"/>
        </w:rPr>
        <w:t>грн</w:t>
      </w:r>
      <w:r w:rsidR="000D248A" w:rsidRPr="000D248A">
        <w:rPr>
          <w:b/>
          <w:bCs/>
          <w:sz w:val="28"/>
          <w:szCs w:val="28"/>
          <w:lang w:val="ru-RU"/>
        </w:rPr>
        <w:t xml:space="preserve"> </w:t>
      </w:r>
      <w:r w:rsidR="000679FE" w:rsidRPr="000679FE">
        <w:rPr>
          <w:bCs/>
          <w:sz w:val="28"/>
          <w:szCs w:val="28"/>
        </w:rPr>
        <w:t>(</w:t>
      </w:r>
      <w:r w:rsidR="000D248A" w:rsidRPr="000D248A">
        <w:rPr>
          <w:bCs/>
          <w:sz w:val="28"/>
          <w:szCs w:val="28"/>
        </w:rPr>
        <w:t>Один мільйон дев'ятсот сорок одна тисяча чотириста</w:t>
      </w:r>
      <w:r w:rsidR="000D248A" w:rsidRPr="000D248A">
        <w:rPr>
          <w:bCs/>
          <w:sz w:val="28"/>
          <w:szCs w:val="28"/>
          <w:lang w:val="ru-RU"/>
        </w:rPr>
        <w:t xml:space="preserve"> </w:t>
      </w:r>
      <w:r w:rsidR="000D248A" w:rsidRPr="000D248A">
        <w:rPr>
          <w:bCs/>
          <w:sz w:val="28"/>
          <w:szCs w:val="28"/>
        </w:rPr>
        <w:t>гривень 00 копійок</w:t>
      </w:r>
      <w:r w:rsidR="000679FE" w:rsidRPr="000679FE">
        <w:rPr>
          <w:bCs/>
          <w:sz w:val="28"/>
          <w:szCs w:val="28"/>
        </w:rPr>
        <w:t>)</w:t>
      </w:r>
      <w:r w:rsidR="000679FE" w:rsidRPr="000679FE">
        <w:rPr>
          <w:rFonts w:eastAsia="MS Mincho"/>
          <w:sz w:val="28"/>
          <w:szCs w:val="28"/>
        </w:rPr>
        <w:t xml:space="preserve">, </w:t>
      </w:r>
      <w:r w:rsidR="000679FE" w:rsidRPr="000679FE">
        <w:rPr>
          <w:rFonts w:eastAsia="MS Mincho"/>
          <w:b/>
          <w:bCs/>
          <w:sz w:val="28"/>
          <w:szCs w:val="28"/>
        </w:rPr>
        <w:t>з ПДВ</w:t>
      </w:r>
      <w:r w:rsidR="00C02664">
        <w:rPr>
          <w:rFonts w:eastAsia="MS Mincho"/>
          <w:sz w:val="28"/>
          <w:szCs w:val="28"/>
        </w:rPr>
        <w:t>, зокрема:</w:t>
      </w:r>
    </w:p>
    <w:p w:rsidR="00C02664" w:rsidRPr="00C02664" w:rsidRDefault="00C02664" w:rsidP="00C02664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C02664">
        <w:rPr>
          <w:rFonts w:eastAsia="MS Mincho"/>
          <w:sz w:val="28"/>
          <w:szCs w:val="28"/>
        </w:rPr>
        <w:t>лот 1 - 817 200,00 грн (Вісімсот сімнадцять тисяч двісті гривень 00 копійок), з ПДВ;</w:t>
      </w:r>
    </w:p>
    <w:p w:rsidR="00C02664" w:rsidRPr="00C02664" w:rsidRDefault="00C02664" w:rsidP="00C02664">
      <w:pPr>
        <w:pStyle w:val="a9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C02664">
        <w:rPr>
          <w:rFonts w:eastAsia="MS Mincho"/>
          <w:sz w:val="28"/>
          <w:szCs w:val="28"/>
        </w:rPr>
        <w:t>лот 2 - 1 124 200</w:t>
      </w:r>
      <w:r w:rsidRPr="00C02664">
        <w:rPr>
          <w:sz w:val="28"/>
          <w:szCs w:val="28"/>
        </w:rPr>
        <w:t>,00</w:t>
      </w:r>
      <w:r w:rsidRPr="00C02664">
        <w:rPr>
          <w:rFonts w:eastAsia="MS Mincho"/>
          <w:sz w:val="28"/>
          <w:szCs w:val="28"/>
        </w:rPr>
        <w:t xml:space="preserve"> грн (Один мільйон сто двадцять чотири тисячі двісті гривень 00 копійок), з ПДВ.</w:t>
      </w:r>
    </w:p>
    <w:p w:rsidR="00C02664" w:rsidRPr="000679FE" w:rsidRDefault="00C02664" w:rsidP="000D248A">
      <w:pPr>
        <w:jc w:val="both"/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6B2C00" w:rsidRDefault="006B2C00" w:rsidP="006B2C00">
      <w:pPr>
        <w:tabs>
          <w:tab w:val="left" w:pos="1350"/>
        </w:tabs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Default="00532E0E" w:rsidP="005344AF">
      <w:pPr>
        <w:rPr>
          <w:rFonts w:eastAsia="MS Mincho"/>
        </w:rPr>
      </w:pPr>
    </w:p>
    <w:p w:rsidR="00532E0E" w:rsidRDefault="00532E0E" w:rsidP="00532E0E">
      <w:pPr>
        <w:shd w:val="clear" w:color="auto" w:fill="FFFFFF"/>
        <w:jc w:val="both"/>
        <w:rPr>
          <w:sz w:val="28"/>
          <w:szCs w:val="28"/>
        </w:rPr>
      </w:pPr>
      <w:r w:rsidRPr="00D23814">
        <w:rPr>
          <w:sz w:val="28"/>
          <w:szCs w:val="28"/>
        </w:rPr>
        <w:lastRenderedPageBreak/>
        <w:t>Виконавець:</w:t>
      </w:r>
    </w:p>
    <w:p w:rsidR="00532E0E" w:rsidRDefault="00532E0E" w:rsidP="00532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</w:t>
      </w:r>
      <w:r w:rsidRPr="00D23814">
        <w:rPr>
          <w:sz w:val="28"/>
          <w:szCs w:val="28"/>
        </w:rPr>
        <w:t xml:space="preserve"> тендерних </w:t>
      </w:r>
    </w:p>
    <w:p w:rsidR="00532E0E" w:rsidRPr="00D23814" w:rsidRDefault="00532E0E" w:rsidP="00532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3814">
        <w:rPr>
          <w:sz w:val="28"/>
          <w:szCs w:val="28"/>
        </w:rPr>
        <w:t>роцедур</w:t>
      </w:r>
      <w:r>
        <w:rPr>
          <w:sz w:val="28"/>
          <w:szCs w:val="28"/>
        </w:rPr>
        <w:t xml:space="preserve"> </w:t>
      </w:r>
      <w:r w:rsidRPr="00D23814">
        <w:rPr>
          <w:sz w:val="28"/>
          <w:szCs w:val="28"/>
        </w:rPr>
        <w:t xml:space="preserve">управління економіки   </w:t>
      </w:r>
      <w:r>
        <w:rPr>
          <w:sz w:val="28"/>
          <w:szCs w:val="28"/>
        </w:rPr>
        <w:t xml:space="preserve">                                                Тетяна ФАНТА</w:t>
      </w:r>
    </w:p>
    <w:p w:rsidR="00532E0E" w:rsidRDefault="00532E0E" w:rsidP="00532E0E">
      <w:pPr>
        <w:shd w:val="clear" w:color="auto" w:fill="FFFFFF"/>
        <w:jc w:val="both"/>
        <w:rPr>
          <w:sz w:val="28"/>
          <w:szCs w:val="28"/>
        </w:rPr>
      </w:pPr>
    </w:p>
    <w:p w:rsidR="00532E0E" w:rsidRPr="00D23814" w:rsidRDefault="00532E0E" w:rsidP="00532E0E">
      <w:pPr>
        <w:shd w:val="clear" w:color="auto" w:fill="FFFFFF"/>
        <w:jc w:val="both"/>
        <w:rPr>
          <w:sz w:val="28"/>
          <w:szCs w:val="28"/>
        </w:rPr>
      </w:pPr>
    </w:p>
    <w:p w:rsidR="00532E0E" w:rsidRPr="00D23814" w:rsidRDefault="00532E0E" w:rsidP="00532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  <w:r w:rsidRPr="00D23814">
        <w:rPr>
          <w:sz w:val="28"/>
          <w:szCs w:val="28"/>
        </w:rPr>
        <w:t xml:space="preserve"> тендерних процедур                  </w:t>
      </w:r>
      <w:r w:rsidRPr="00D23814">
        <w:rPr>
          <w:sz w:val="28"/>
          <w:szCs w:val="28"/>
        </w:rPr>
        <w:tab/>
      </w:r>
    </w:p>
    <w:p w:rsidR="00532E0E" w:rsidRPr="00D23814" w:rsidRDefault="00532E0E" w:rsidP="00532E0E">
      <w:pPr>
        <w:shd w:val="clear" w:color="auto" w:fill="FFFFFF"/>
        <w:jc w:val="both"/>
        <w:rPr>
          <w:sz w:val="28"/>
          <w:szCs w:val="28"/>
        </w:rPr>
      </w:pPr>
      <w:r w:rsidRPr="00D23814">
        <w:rPr>
          <w:sz w:val="28"/>
          <w:szCs w:val="28"/>
        </w:rPr>
        <w:t xml:space="preserve">управління економіки                                     </w:t>
      </w:r>
      <w:r>
        <w:rPr>
          <w:sz w:val="28"/>
          <w:szCs w:val="28"/>
        </w:rPr>
        <w:t xml:space="preserve">                              Лілія БЕДЕНОК</w:t>
      </w:r>
    </w:p>
    <w:p w:rsidR="00532E0E" w:rsidRDefault="00532E0E" w:rsidP="00532E0E">
      <w:pPr>
        <w:shd w:val="clear" w:color="auto" w:fill="FFFFFF"/>
        <w:jc w:val="both"/>
        <w:rPr>
          <w:sz w:val="27"/>
          <w:szCs w:val="27"/>
        </w:rPr>
      </w:pPr>
    </w:p>
    <w:p w:rsidR="00532E0E" w:rsidRDefault="00532E0E" w:rsidP="00532E0E">
      <w:pPr>
        <w:shd w:val="clear" w:color="auto" w:fill="FFFFFF"/>
        <w:jc w:val="both"/>
        <w:rPr>
          <w:sz w:val="27"/>
          <w:szCs w:val="27"/>
        </w:rPr>
      </w:pPr>
    </w:p>
    <w:p w:rsidR="00532E0E" w:rsidRDefault="00532E0E" w:rsidP="00532E0E">
      <w:pPr>
        <w:shd w:val="clear" w:color="auto" w:fill="FFFFFF"/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</w:t>
      </w:r>
    </w:p>
    <w:p w:rsidR="00532E0E" w:rsidRDefault="00532E0E" w:rsidP="00532E0E">
      <w:pPr>
        <w:shd w:val="clear" w:color="auto" w:fill="FFFFFF"/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економіки                                                                                     Леся ШМУЛЬКО</w:t>
      </w:r>
    </w:p>
    <w:p w:rsidR="00532E0E" w:rsidRPr="00532E0E" w:rsidRDefault="00532E0E" w:rsidP="00532E0E">
      <w:pPr>
        <w:ind w:firstLine="708"/>
        <w:rPr>
          <w:rFonts w:eastAsia="MS Mincho"/>
        </w:rPr>
      </w:pPr>
    </w:p>
    <w:sectPr w:rsidR="00532E0E" w:rsidRPr="0053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05448D5"/>
    <w:multiLevelType w:val="hybridMultilevel"/>
    <w:tmpl w:val="B11E6FF4"/>
    <w:lvl w:ilvl="0" w:tplc="A28ED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9E4A89"/>
    <w:multiLevelType w:val="hybridMultilevel"/>
    <w:tmpl w:val="395CD9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0B96C8F"/>
    <w:multiLevelType w:val="hybridMultilevel"/>
    <w:tmpl w:val="E35E1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D506DA2"/>
    <w:multiLevelType w:val="hybridMultilevel"/>
    <w:tmpl w:val="6A0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51501"/>
    <w:multiLevelType w:val="hybridMultilevel"/>
    <w:tmpl w:val="8BF83214"/>
    <w:lvl w:ilvl="0" w:tplc="4A3441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9A763E8"/>
    <w:multiLevelType w:val="hybridMultilevel"/>
    <w:tmpl w:val="37704606"/>
    <w:lvl w:ilvl="0" w:tplc="7DFEF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DF1110"/>
    <w:multiLevelType w:val="hybridMultilevel"/>
    <w:tmpl w:val="AB8E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A4DCD"/>
    <w:multiLevelType w:val="hybridMultilevel"/>
    <w:tmpl w:val="D550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66DD4"/>
    <w:multiLevelType w:val="hybridMultilevel"/>
    <w:tmpl w:val="F45299E0"/>
    <w:lvl w:ilvl="0" w:tplc="B5BEC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21A4B"/>
    <w:multiLevelType w:val="hybridMultilevel"/>
    <w:tmpl w:val="DD76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24D65648"/>
    <w:multiLevelType w:val="hybridMultilevel"/>
    <w:tmpl w:val="7BD6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8EF1044"/>
    <w:multiLevelType w:val="hybridMultilevel"/>
    <w:tmpl w:val="634CE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957F11"/>
    <w:multiLevelType w:val="hybridMultilevel"/>
    <w:tmpl w:val="01D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6B6C53"/>
    <w:multiLevelType w:val="hybridMultilevel"/>
    <w:tmpl w:val="CF44FC1C"/>
    <w:lvl w:ilvl="0" w:tplc="E6D28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936AAF"/>
    <w:multiLevelType w:val="hybridMultilevel"/>
    <w:tmpl w:val="1E90C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36E11533"/>
    <w:multiLevelType w:val="hybridMultilevel"/>
    <w:tmpl w:val="0E58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736BA3"/>
    <w:multiLevelType w:val="multilevel"/>
    <w:tmpl w:val="11A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4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4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750225"/>
    <w:multiLevelType w:val="hybridMultilevel"/>
    <w:tmpl w:val="D56A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B6035"/>
    <w:multiLevelType w:val="hybridMultilevel"/>
    <w:tmpl w:val="36F4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E6387E"/>
    <w:multiLevelType w:val="multilevel"/>
    <w:tmpl w:val="49E6387E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2F18D5"/>
    <w:multiLevelType w:val="hybridMultilevel"/>
    <w:tmpl w:val="605C310E"/>
    <w:lvl w:ilvl="0" w:tplc="CE54F03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2040B6D"/>
    <w:multiLevelType w:val="hybridMultilevel"/>
    <w:tmpl w:val="E63E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A087785"/>
    <w:multiLevelType w:val="hybridMultilevel"/>
    <w:tmpl w:val="02B405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74E06"/>
    <w:multiLevelType w:val="hybridMultilevel"/>
    <w:tmpl w:val="2BEECED2"/>
    <w:lvl w:ilvl="0" w:tplc="47CA8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57447"/>
    <w:multiLevelType w:val="hybridMultilevel"/>
    <w:tmpl w:val="B614A454"/>
    <w:lvl w:ilvl="0" w:tplc="66680A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1"/>
  </w:num>
  <w:num w:numId="5">
    <w:abstractNumId w:val="30"/>
  </w:num>
  <w:num w:numId="6">
    <w:abstractNumId w:val="16"/>
  </w:num>
  <w:num w:numId="7">
    <w:abstractNumId w:val="20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</w:num>
  <w:num w:numId="25">
    <w:abstractNumId w:val="18"/>
  </w:num>
  <w:num w:numId="26">
    <w:abstractNumId w:val="45"/>
  </w:num>
  <w:num w:numId="27">
    <w:abstractNumId w:val="11"/>
  </w:num>
  <w:num w:numId="28">
    <w:abstractNumId w:val="24"/>
  </w:num>
  <w:num w:numId="29">
    <w:abstractNumId w:val="46"/>
  </w:num>
  <w:num w:numId="30">
    <w:abstractNumId w:val="37"/>
  </w:num>
  <w:num w:numId="31">
    <w:abstractNumId w:val="31"/>
  </w:num>
  <w:num w:numId="32">
    <w:abstractNumId w:val="32"/>
  </w:num>
  <w:num w:numId="33">
    <w:abstractNumId w:val="43"/>
  </w:num>
  <w:num w:numId="34">
    <w:abstractNumId w:val="17"/>
  </w:num>
  <w:num w:numId="35">
    <w:abstractNumId w:val="40"/>
  </w:num>
  <w:num w:numId="36">
    <w:abstractNumId w:val="22"/>
  </w:num>
  <w:num w:numId="37">
    <w:abstractNumId w:val="44"/>
  </w:num>
  <w:num w:numId="38">
    <w:abstractNumId w:val="2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6"/>
  </w:num>
  <w:num w:numId="42">
    <w:abstractNumId w:val="19"/>
  </w:num>
  <w:num w:numId="43">
    <w:abstractNumId w:val="29"/>
  </w:num>
  <w:num w:numId="44">
    <w:abstractNumId w:val="12"/>
  </w:num>
  <w:num w:numId="45">
    <w:abstractNumId w:val="28"/>
  </w:num>
  <w:num w:numId="46">
    <w:abstractNumId w:val="25"/>
  </w:num>
  <w:num w:numId="47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5436D"/>
    <w:rsid w:val="000679FE"/>
    <w:rsid w:val="000731E1"/>
    <w:rsid w:val="00076E5B"/>
    <w:rsid w:val="0008059F"/>
    <w:rsid w:val="000809BA"/>
    <w:rsid w:val="000821DF"/>
    <w:rsid w:val="00092739"/>
    <w:rsid w:val="000975BE"/>
    <w:rsid w:val="000A20D5"/>
    <w:rsid w:val="000A3DBD"/>
    <w:rsid w:val="000A582C"/>
    <w:rsid w:val="000A74AB"/>
    <w:rsid w:val="000C3D46"/>
    <w:rsid w:val="000D140B"/>
    <w:rsid w:val="000D248A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4356A"/>
    <w:rsid w:val="00152E1B"/>
    <w:rsid w:val="0015394C"/>
    <w:rsid w:val="00184E9F"/>
    <w:rsid w:val="00185BFE"/>
    <w:rsid w:val="001969C6"/>
    <w:rsid w:val="001A02B9"/>
    <w:rsid w:val="001A46C0"/>
    <w:rsid w:val="001B0845"/>
    <w:rsid w:val="001B135C"/>
    <w:rsid w:val="001B51C7"/>
    <w:rsid w:val="001B60EC"/>
    <w:rsid w:val="001C3DFD"/>
    <w:rsid w:val="001F2E71"/>
    <w:rsid w:val="001F3469"/>
    <w:rsid w:val="001F6290"/>
    <w:rsid w:val="001F7E5D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3F89"/>
    <w:rsid w:val="0035583C"/>
    <w:rsid w:val="0036166A"/>
    <w:rsid w:val="003625AA"/>
    <w:rsid w:val="003641A6"/>
    <w:rsid w:val="00376238"/>
    <w:rsid w:val="00380F0A"/>
    <w:rsid w:val="00392B5B"/>
    <w:rsid w:val="003A7D39"/>
    <w:rsid w:val="003B31D8"/>
    <w:rsid w:val="003B60F3"/>
    <w:rsid w:val="003C2015"/>
    <w:rsid w:val="003C4207"/>
    <w:rsid w:val="003C5EB7"/>
    <w:rsid w:val="003D3F72"/>
    <w:rsid w:val="003E11F1"/>
    <w:rsid w:val="00403F81"/>
    <w:rsid w:val="00405126"/>
    <w:rsid w:val="00424AAE"/>
    <w:rsid w:val="00427D83"/>
    <w:rsid w:val="00431E5F"/>
    <w:rsid w:val="00433F80"/>
    <w:rsid w:val="00453BF0"/>
    <w:rsid w:val="00460F05"/>
    <w:rsid w:val="00461B51"/>
    <w:rsid w:val="00464770"/>
    <w:rsid w:val="004662DF"/>
    <w:rsid w:val="00471C66"/>
    <w:rsid w:val="00486B15"/>
    <w:rsid w:val="0049507A"/>
    <w:rsid w:val="004A7253"/>
    <w:rsid w:val="004C1D96"/>
    <w:rsid w:val="004F13D8"/>
    <w:rsid w:val="004F30CF"/>
    <w:rsid w:val="004F3463"/>
    <w:rsid w:val="004F6127"/>
    <w:rsid w:val="0050242E"/>
    <w:rsid w:val="00520BEA"/>
    <w:rsid w:val="005225EC"/>
    <w:rsid w:val="005237AA"/>
    <w:rsid w:val="00523D90"/>
    <w:rsid w:val="00524684"/>
    <w:rsid w:val="0053187C"/>
    <w:rsid w:val="00532E0E"/>
    <w:rsid w:val="005344AF"/>
    <w:rsid w:val="0053759E"/>
    <w:rsid w:val="00546CFE"/>
    <w:rsid w:val="00570BC2"/>
    <w:rsid w:val="00571927"/>
    <w:rsid w:val="00574ECF"/>
    <w:rsid w:val="0058325C"/>
    <w:rsid w:val="0058731F"/>
    <w:rsid w:val="005942E1"/>
    <w:rsid w:val="005B188C"/>
    <w:rsid w:val="005B4DEE"/>
    <w:rsid w:val="005B6E36"/>
    <w:rsid w:val="005C4522"/>
    <w:rsid w:val="005D7F21"/>
    <w:rsid w:val="005E70FD"/>
    <w:rsid w:val="005F3340"/>
    <w:rsid w:val="00606521"/>
    <w:rsid w:val="00620C8C"/>
    <w:rsid w:val="00640658"/>
    <w:rsid w:val="006439E9"/>
    <w:rsid w:val="006452AD"/>
    <w:rsid w:val="00646233"/>
    <w:rsid w:val="00651A90"/>
    <w:rsid w:val="006557BF"/>
    <w:rsid w:val="0065722A"/>
    <w:rsid w:val="00663EB5"/>
    <w:rsid w:val="0066427A"/>
    <w:rsid w:val="00685E93"/>
    <w:rsid w:val="00694722"/>
    <w:rsid w:val="006A74E9"/>
    <w:rsid w:val="006B0C41"/>
    <w:rsid w:val="006B1737"/>
    <w:rsid w:val="006B2C00"/>
    <w:rsid w:val="006C0C3C"/>
    <w:rsid w:val="006C5000"/>
    <w:rsid w:val="006C5BE6"/>
    <w:rsid w:val="006D2108"/>
    <w:rsid w:val="006D6734"/>
    <w:rsid w:val="006E6B8D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47858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80020D"/>
    <w:rsid w:val="00800AD8"/>
    <w:rsid w:val="00820932"/>
    <w:rsid w:val="008233F8"/>
    <w:rsid w:val="00834670"/>
    <w:rsid w:val="008443CC"/>
    <w:rsid w:val="0084710D"/>
    <w:rsid w:val="0084763E"/>
    <w:rsid w:val="00872344"/>
    <w:rsid w:val="0087242C"/>
    <w:rsid w:val="00877C0A"/>
    <w:rsid w:val="00877F81"/>
    <w:rsid w:val="00885CB4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0041C"/>
    <w:rsid w:val="0090157B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024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6BA"/>
    <w:rsid w:val="00A117FB"/>
    <w:rsid w:val="00A124AB"/>
    <w:rsid w:val="00A22FEF"/>
    <w:rsid w:val="00A31CD8"/>
    <w:rsid w:val="00A32993"/>
    <w:rsid w:val="00A35886"/>
    <w:rsid w:val="00A439C3"/>
    <w:rsid w:val="00A43D09"/>
    <w:rsid w:val="00A561FF"/>
    <w:rsid w:val="00A62278"/>
    <w:rsid w:val="00A666A4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1F2F"/>
    <w:rsid w:val="00B1432A"/>
    <w:rsid w:val="00B167FA"/>
    <w:rsid w:val="00B2265C"/>
    <w:rsid w:val="00B44D15"/>
    <w:rsid w:val="00B632E3"/>
    <w:rsid w:val="00B8504B"/>
    <w:rsid w:val="00BA319B"/>
    <w:rsid w:val="00BA4216"/>
    <w:rsid w:val="00BB6E01"/>
    <w:rsid w:val="00BC0F17"/>
    <w:rsid w:val="00BC3564"/>
    <w:rsid w:val="00BC3D3C"/>
    <w:rsid w:val="00BC4694"/>
    <w:rsid w:val="00BE438F"/>
    <w:rsid w:val="00BF09AB"/>
    <w:rsid w:val="00BF2BDC"/>
    <w:rsid w:val="00C02664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149E"/>
    <w:rsid w:val="00C92445"/>
    <w:rsid w:val="00C959CA"/>
    <w:rsid w:val="00C9601E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24962"/>
    <w:rsid w:val="00D2579C"/>
    <w:rsid w:val="00D347C5"/>
    <w:rsid w:val="00D34CF7"/>
    <w:rsid w:val="00D566C4"/>
    <w:rsid w:val="00D64434"/>
    <w:rsid w:val="00D73212"/>
    <w:rsid w:val="00D81F01"/>
    <w:rsid w:val="00D84D50"/>
    <w:rsid w:val="00D93296"/>
    <w:rsid w:val="00D954D3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2832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97795"/>
    <w:rsid w:val="00EA061B"/>
    <w:rsid w:val="00EA2410"/>
    <w:rsid w:val="00EA3595"/>
    <w:rsid w:val="00EA5B39"/>
    <w:rsid w:val="00EB13D1"/>
    <w:rsid w:val="00EC77FA"/>
    <w:rsid w:val="00ED0CD4"/>
    <w:rsid w:val="00ED123E"/>
    <w:rsid w:val="00ED20E6"/>
    <w:rsid w:val="00ED579C"/>
    <w:rsid w:val="00EE6A3A"/>
    <w:rsid w:val="00EE74B6"/>
    <w:rsid w:val="00EF4AA5"/>
    <w:rsid w:val="00EF5C86"/>
    <w:rsid w:val="00F00F24"/>
    <w:rsid w:val="00F01111"/>
    <w:rsid w:val="00F01329"/>
    <w:rsid w:val="00F0194F"/>
    <w:rsid w:val="00F06804"/>
    <w:rsid w:val="00F06F56"/>
    <w:rsid w:val="00F139B3"/>
    <w:rsid w:val="00F15D7E"/>
    <w:rsid w:val="00F31B5C"/>
    <w:rsid w:val="00F36949"/>
    <w:rsid w:val="00F46B3B"/>
    <w:rsid w:val="00F66E71"/>
    <w:rsid w:val="00F67EC4"/>
    <w:rsid w:val="00F7167D"/>
    <w:rsid w:val="00F724C5"/>
    <w:rsid w:val="00F731D7"/>
    <w:rsid w:val="00F76001"/>
    <w:rsid w:val="00F85200"/>
    <w:rsid w:val="00F86DFE"/>
    <w:rsid w:val="00F931AB"/>
    <w:rsid w:val="00FB4B97"/>
    <w:rsid w:val="00FB4F92"/>
    <w:rsid w:val="00FB5F16"/>
    <w:rsid w:val="00FC3643"/>
    <w:rsid w:val="00FD264A"/>
    <w:rsid w:val="00FD645D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link w:val="a4"/>
    <w:uiPriority w:val="1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link w:val="aa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locked/>
    <w:rsid w:val="00520BEA"/>
    <w:rPr>
      <w:sz w:val="24"/>
      <w:szCs w:val="24"/>
      <w:lang w:val="uk-UA"/>
    </w:rPr>
  </w:style>
  <w:style w:type="paragraph" w:styleId="ab">
    <w:name w:val="Body Text Indent"/>
    <w:basedOn w:val="a"/>
    <w:link w:val="ac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d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e">
    <w:name w:val="Абзац списка Знак"/>
    <w:aliases w:val="AC List 01 Знак"/>
    <w:link w:val="af"/>
    <w:uiPriority w:val="34"/>
    <w:locked/>
    <w:rsid w:val="007379DE"/>
    <w:rPr>
      <w:sz w:val="24"/>
      <w:szCs w:val="24"/>
      <w:lang w:val="uk-UA"/>
    </w:rPr>
  </w:style>
  <w:style w:type="paragraph" w:styleId="af">
    <w:name w:val="List Paragraph"/>
    <w:aliases w:val="AC List 01"/>
    <w:basedOn w:val="a"/>
    <w:link w:val="ae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0">
    <w:name w:val="Subtle Reference"/>
    <w:uiPriority w:val="31"/>
    <w:qFormat/>
    <w:rsid w:val="007379DE"/>
    <w:rPr>
      <w:smallCaps/>
      <w:color w:val="5A5A5A"/>
    </w:rPr>
  </w:style>
  <w:style w:type="paragraph" w:styleId="af1">
    <w:name w:val="Balloon Text"/>
    <w:basedOn w:val="a"/>
    <w:link w:val="af2"/>
    <w:rsid w:val="001B1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3">
    <w:name w:val="Hyperlink"/>
    <w:rsid w:val="00A93034"/>
    <w:rPr>
      <w:color w:val="0000FF"/>
      <w:u w:val="single"/>
    </w:rPr>
  </w:style>
  <w:style w:type="paragraph" w:styleId="af4">
    <w:name w:val="Body Text"/>
    <w:basedOn w:val="a"/>
    <w:link w:val="af5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5">
    <w:name w:val="Основной текст Знак"/>
    <w:link w:val="af4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6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7">
    <w:name w:val="footer"/>
    <w:basedOn w:val="a"/>
    <w:link w:val="af8"/>
    <w:uiPriority w:val="99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8">
    <w:name w:val="Нижний колонтитул Знак"/>
    <w:link w:val="af7"/>
    <w:uiPriority w:val="99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9">
    <w:name w:val="page number"/>
    <w:rsid w:val="00A93034"/>
  </w:style>
  <w:style w:type="paragraph" w:customStyle="1" w:styleId="afa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b">
    <w:name w:val="header"/>
    <w:basedOn w:val="a"/>
    <w:link w:val="afc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c">
    <w:name w:val="Верхний колонтитул Знак"/>
    <w:link w:val="afb"/>
    <w:rsid w:val="00A93034"/>
    <w:rPr>
      <w:sz w:val="24"/>
      <w:szCs w:val="24"/>
      <w:lang w:val="ru-RU" w:eastAsia="ru-RU"/>
    </w:rPr>
  </w:style>
  <w:style w:type="character" w:styleId="afd">
    <w:name w:val="annotation reference"/>
    <w:rsid w:val="00A93034"/>
    <w:rPr>
      <w:sz w:val="16"/>
      <w:szCs w:val="16"/>
    </w:rPr>
  </w:style>
  <w:style w:type="paragraph" w:styleId="afe">
    <w:name w:val="annotation text"/>
    <w:basedOn w:val="a"/>
    <w:link w:val="aff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f">
    <w:name w:val="Текст примечания Знак"/>
    <w:link w:val="afe"/>
    <w:rsid w:val="00A93034"/>
    <w:rPr>
      <w:rFonts w:ascii="Calibri" w:eastAsia="Calibri" w:hAnsi="Calibri"/>
      <w:lang w:val="ru-RU" w:eastAsia="ru-RU"/>
    </w:rPr>
  </w:style>
  <w:style w:type="paragraph" w:styleId="aff0">
    <w:name w:val="annotation subject"/>
    <w:basedOn w:val="afe"/>
    <w:next w:val="afe"/>
    <w:link w:val="aff1"/>
    <w:rsid w:val="00A93034"/>
    <w:rPr>
      <w:b/>
      <w:bCs/>
    </w:rPr>
  </w:style>
  <w:style w:type="character" w:customStyle="1" w:styleId="aff1">
    <w:name w:val="Тема примечания Знак"/>
    <w:link w:val="aff0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2">
    <w:name w:val="FollowedHyperlink"/>
    <w:rsid w:val="00A93034"/>
    <w:rPr>
      <w:color w:val="800080"/>
      <w:u w:val="single"/>
    </w:rPr>
  </w:style>
  <w:style w:type="character" w:styleId="aff3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4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5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6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7">
    <w:basedOn w:val="a"/>
    <w:next w:val="a9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  <w:style w:type="paragraph" w:customStyle="1" w:styleId="aff8">
    <w:basedOn w:val="a"/>
    <w:next w:val="a9"/>
    <w:rsid w:val="003762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9">
    <w:basedOn w:val="a"/>
    <w:next w:val="a9"/>
    <w:rsid w:val="009015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0157B"/>
    <w:rPr>
      <w:rFonts w:ascii="Calibri" w:eastAsia="Calibri" w:hAnsi="Calibri"/>
      <w:sz w:val="22"/>
      <w:szCs w:val="22"/>
      <w:lang w:eastAsia="en-US"/>
    </w:rPr>
  </w:style>
  <w:style w:type="character" w:customStyle="1" w:styleId="normalchar">
    <w:name w:val="normal__char"/>
    <w:rsid w:val="001F6290"/>
  </w:style>
  <w:style w:type="paragraph" w:customStyle="1" w:styleId="affa">
    <w:basedOn w:val="a"/>
    <w:next w:val="a7"/>
    <w:qFormat/>
    <w:rsid w:val="001B0845"/>
    <w:pPr>
      <w:jc w:val="center"/>
    </w:pPr>
    <w:rPr>
      <w:rFonts w:ascii="Times New Roman CYR" w:eastAsia="Calibri" w:hAnsi="Times New Roman CYR" w:cs="Times New Roman CYR"/>
      <w:b/>
      <w:bCs/>
      <w:sz w:val="32"/>
      <w:szCs w:val="32"/>
      <w:lang w:val="en-US"/>
    </w:rPr>
  </w:style>
  <w:style w:type="character" w:customStyle="1" w:styleId="affb">
    <w:name w:val="Заголовок Знак"/>
    <w:uiPriority w:val="10"/>
    <w:rsid w:val="001B0845"/>
    <w:rPr>
      <w:rFonts w:ascii="Calibri Light" w:eastAsia="Times New Roman" w:hAnsi="Calibri Light" w:cs="Times New Roman"/>
      <w:spacing w:val="-10"/>
      <w:kern w:val="28"/>
      <w:sz w:val="56"/>
      <w:szCs w:val="56"/>
      <w:lang w:val="uk-UA" w:eastAsia="en-US"/>
    </w:rPr>
  </w:style>
  <w:style w:type="paragraph" w:customStyle="1" w:styleId="affc">
    <w:basedOn w:val="a"/>
    <w:next w:val="a9"/>
    <w:rsid w:val="001F2E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Средняя сетка 21"/>
    <w:uiPriority w:val="1"/>
    <w:qFormat/>
    <w:rsid w:val="00D954D3"/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3765-7225-4D0F-8765-A37A367B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2022-07-26T11:36:00Z</cp:lastPrinted>
  <dcterms:created xsi:type="dcterms:W3CDTF">2022-07-27T13:15:00Z</dcterms:created>
  <dcterms:modified xsi:type="dcterms:W3CDTF">2022-07-27T13:15:00Z</dcterms:modified>
</cp:coreProperties>
</file>