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63" w:rsidRPr="002B7E63" w:rsidRDefault="000D22E0" w:rsidP="002B7E63">
      <w:pPr>
        <w:jc w:val="center"/>
        <w:rPr>
          <w:rFonts w:eastAsia="MS Mincho"/>
          <w:b/>
          <w:bCs/>
          <w:sz w:val="28"/>
          <w:szCs w:val="28"/>
        </w:rPr>
      </w:pPr>
      <w:r w:rsidRPr="000D22E0">
        <w:rPr>
          <w:rFonts w:eastAsia="MS Mincho"/>
          <w:b/>
          <w:bCs/>
          <w:sz w:val="28"/>
          <w:szCs w:val="28"/>
        </w:rPr>
        <w:t xml:space="preserve">33120000-7 Системи реєстрації медичної інформації та дослідне обладнання (Експрес-тест для визначення </w:t>
      </w:r>
      <w:proofErr w:type="spellStart"/>
      <w:r w:rsidRPr="000D22E0">
        <w:rPr>
          <w:rFonts w:eastAsia="MS Mincho"/>
          <w:b/>
          <w:bCs/>
          <w:sz w:val="28"/>
          <w:szCs w:val="28"/>
        </w:rPr>
        <w:t>антигена</w:t>
      </w:r>
      <w:proofErr w:type="spellEnd"/>
      <w:r w:rsidRPr="000D22E0">
        <w:rPr>
          <w:rFonts w:eastAsia="MS Mincho"/>
          <w:b/>
          <w:bCs/>
          <w:sz w:val="28"/>
          <w:szCs w:val="28"/>
        </w:rPr>
        <w:t xml:space="preserve"> коронавірусу SARS-CoV-2 та вірусів грипу А та В (50280 Коронавірус (SARS-CoV), антигени IVD, набір, </w:t>
      </w:r>
      <w:proofErr w:type="spellStart"/>
      <w:r w:rsidRPr="000D22E0">
        <w:rPr>
          <w:rFonts w:eastAsia="MS Mincho"/>
          <w:b/>
          <w:bCs/>
          <w:sz w:val="28"/>
          <w:szCs w:val="28"/>
        </w:rPr>
        <w:t>імунохроматографічний</w:t>
      </w:r>
      <w:proofErr w:type="spellEnd"/>
      <w:r w:rsidRPr="000D22E0">
        <w:rPr>
          <w:rFonts w:eastAsia="MS Mincho"/>
          <w:b/>
          <w:bCs/>
          <w:sz w:val="28"/>
          <w:szCs w:val="28"/>
        </w:rPr>
        <w:t>, експрес-аналіз) - 107014 шт.)</w:t>
      </w:r>
    </w:p>
    <w:p w:rsidR="00A73422" w:rsidRPr="001A02B9" w:rsidRDefault="00A73422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CB7341" w:rsidRDefault="00352A71" w:rsidP="00CB7341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0D22E0" w:rsidRPr="000D22E0" w:rsidRDefault="000D22E0" w:rsidP="000D22E0">
      <w:pPr>
        <w:pStyle w:val="aa"/>
        <w:tabs>
          <w:tab w:val="left" w:pos="720"/>
        </w:tabs>
        <w:spacing w:after="0"/>
        <w:ind w:left="0" w:right="15" w:firstLine="720"/>
        <w:jc w:val="both"/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</w:pPr>
      <w:r w:rsidRPr="000D22E0"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  <w:t xml:space="preserve">Експрес-тест для визначення </w:t>
      </w:r>
      <w:proofErr w:type="spellStart"/>
      <w:r w:rsidRPr="000D22E0"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  <w:t>антигена</w:t>
      </w:r>
      <w:proofErr w:type="spellEnd"/>
      <w:r w:rsidRPr="000D22E0"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  <w:t xml:space="preserve"> коронавірусу SARS-CoV-2 та вірусів грипу А та В (50280 Коронавірус (SARS-CoV), антигени IVD, набір, </w:t>
      </w:r>
      <w:proofErr w:type="spellStart"/>
      <w:r w:rsidRPr="000D22E0"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  <w:t>імунохроматографічний</w:t>
      </w:r>
      <w:proofErr w:type="spellEnd"/>
      <w:r w:rsidRPr="000D22E0">
        <w:rPr>
          <w:rFonts w:ascii="Times New Roman" w:eastAsia="MS Mincho" w:hAnsi="Times New Roman"/>
          <w:bCs/>
          <w:iCs/>
          <w:sz w:val="28"/>
          <w:szCs w:val="28"/>
          <w:lang w:val="uk-UA" w:eastAsia="en-US"/>
        </w:rPr>
        <w:t>, експрес-аналіз) - 107014 шт.).</w:t>
      </w:r>
    </w:p>
    <w:p w:rsidR="000D22E0" w:rsidRPr="000D22E0" w:rsidRDefault="000D22E0" w:rsidP="000D22E0">
      <w:pPr>
        <w:pStyle w:val="aa"/>
        <w:tabs>
          <w:tab w:val="left" w:pos="720"/>
        </w:tabs>
        <w:spacing w:after="0"/>
        <w:ind w:left="0" w:right="1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D22E0">
        <w:rPr>
          <w:rFonts w:ascii="Times New Roman" w:hAnsi="Times New Roman"/>
          <w:i/>
          <w:iCs/>
          <w:sz w:val="28"/>
          <w:szCs w:val="28"/>
          <w:lang w:val="uk-UA"/>
        </w:rPr>
        <w:t>Спеціальні вимоги:</w:t>
      </w:r>
    </w:p>
    <w:p w:rsidR="000D22E0" w:rsidRPr="000D22E0" w:rsidRDefault="000D22E0" w:rsidP="000D22E0">
      <w:pPr>
        <w:pStyle w:val="aa"/>
        <w:tabs>
          <w:tab w:val="left" w:pos="720"/>
        </w:tabs>
        <w:spacing w:after="0"/>
        <w:ind w:left="0" w:right="1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D22E0">
        <w:rPr>
          <w:rFonts w:ascii="Times New Roman" w:hAnsi="Times New Roman"/>
          <w:i/>
          <w:iCs/>
          <w:sz w:val="28"/>
          <w:szCs w:val="28"/>
          <w:lang w:val="uk-UA"/>
        </w:rPr>
        <w:t xml:space="preserve">1. </w:t>
      </w:r>
      <w:proofErr w:type="spellStart"/>
      <w:r w:rsidRPr="000D22E0">
        <w:rPr>
          <w:rFonts w:ascii="Times New Roman" w:hAnsi="Times New Roman"/>
          <w:bCs/>
          <w:i/>
          <w:iCs/>
          <w:sz w:val="28"/>
          <w:szCs w:val="28"/>
        </w:rPr>
        <w:t>Застосування</w:t>
      </w:r>
      <w:proofErr w:type="spellEnd"/>
      <w:r w:rsidRPr="000D22E0">
        <w:rPr>
          <w:rFonts w:ascii="Times New Roman" w:hAnsi="Times New Roman"/>
          <w:bCs/>
          <w:i/>
          <w:iCs/>
          <w:sz w:val="28"/>
          <w:szCs w:val="28"/>
        </w:rPr>
        <w:t xml:space="preserve"> та </w:t>
      </w:r>
      <w:proofErr w:type="spellStart"/>
      <w:r w:rsidRPr="000D22E0">
        <w:rPr>
          <w:rFonts w:ascii="Times New Roman" w:hAnsi="Times New Roman"/>
          <w:bCs/>
          <w:i/>
          <w:iCs/>
          <w:sz w:val="28"/>
          <w:szCs w:val="28"/>
        </w:rPr>
        <w:t>призначення</w:t>
      </w:r>
      <w:proofErr w:type="spellEnd"/>
      <w:r w:rsidRPr="000D22E0">
        <w:rPr>
          <w:rFonts w:ascii="Times New Roman" w:hAnsi="Times New Roman"/>
          <w:bCs/>
          <w:i/>
          <w:iCs/>
          <w:sz w:val="28"/>
          <w:szCs w:val="28"/>
        </w:rPr>
        <w:t xml:space="preserve"> предмет</w:t>
      </w:r>
      <w:r w:rsidRPr="000D22E0">
        <w:rPr>
          <w:rFonts w:ascii="Times New Roman" w:hAnsi="Times New Roman"/>
          <w:bCs/>
          <w:i/>
          <w:iCs/>
          <w:sz w:val="28"/>
          <w:szCs w:val="28"/>
          <w:lang w:val="uk-UA"/>
        </w:rPr>
        <w:t>а</w:t>
      </w:r>
      <w:r w:rsidRPr="000D22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0D22E0">
        <w:rPr>
          <w:rFonts w:ascii="Times New Roman" w:hAnsi="Times New Roman"/>
          <w:bCs/>
          <w:i/>
          <w:iCs/>
          <w:sz w:val="28"/>
          <w:szCs w:val="28"/>
        </w:rPr>
        <w:t>закупівлі</w:t>
      </w:r>
      <w:proofErr w:type="spellEnd"/>
      <w:r w:rsidRPr="000D22E0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0D22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Швидкий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однокроковий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імунохроматографічний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тест для прямого та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якісного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виявлення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вірусного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нуклеокапсидного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білка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</w:t>
      </w:r>
      <w:r w:rsidRPr="000D22E0">
        <w:rPr>
          <w:rFonts w:ascii="Times New Roman" w:hAnsi="Times New Roman"/>
          <w:bCs/>
          <w:sz w:val="28"/>
          <w:szCs w:val="28"/>
          <w:lang w:val="en-US"/>
        </w:rPr>
        <w:t>SARS</w:t>
      </w:r>
      <w:r w:rsidRPr="000D22E0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0D22E0">
        <w:rPr>
          <w:rFonts w:ascii="Times New Roman" w:hAnsi="Times New Roman"/>
          <w:bCs/>
          <w:sz w:val="28"/>
          <w:szCs w:val="28"/>
          <w:lang w:val="en-US"/>
        </w:rPr>
        <w:t>CoV</w:t>
      </w:r>
      <w:proofErr w:type="spellEnd"/>
      <w:r w:rsidRPr="000D22E0">
        <w:rPr>
          <w:rFonts w:ascii="Times New Roman" w:hAnsi="Times New Roman"/>
          <w:bCs/>
          <w:sz w:val="28"/>
          <w:szCs w:val="28"/>
          <w:lang w:val="uk-UA"/>
        </w:rPr>
        <w:t>-2</w:t>
      </w:r>
      <w:r w:rsidRPr="000D22E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грипу</w:t>
      </w:r>
      <w:proofErr w:type="spellEnd"/>
      <w:proofErr w:type="gramStart"/>
      <w:r w:rsidRPr="000D22E0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0D22E0">
        <w:rPr>
          <w:rFonts w:ascii="Times New Roman" w:hAnsi="Times New Roman"/>
          <w:bCs/>
          <w:sz w:val="28"/>
          <w:szCs w:val="28"/>
        </w:rPr>
        <w:t xml:space="preserve"> та В. Тест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має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бути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призначений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діагностики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</w:t>
      </w:r>
      <w:r w:rsidRPr="000D22E0">
        <w:rPr>
          <w:rFonts w:ascii="Times New Roman" w:hAnsi="Times New Roman"/>
          <w:bCs/>
          <w:sz w:val="28"/>
          <w:szCs w:val="28"/>
          <w:lang w:val="en-US"/>
        </w:rPr>
        <w:t>in</w:t>
      </w:r>
      <w:r w:rsidRPr="000D2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D22E0">
        <w:rPr>
          <w:rFonts w:ascii="Times New Roman" w:hAnsi="Times New Roman"/>
          <w:bCs/>
          <w:sz w:val="28"/>
          <w:szCs w:val="28"/>
          <w:lang w:val="en-US"/>
        </w:rPr>
        <w:t>vitro</w:t>
      </w:r>
      <w:r w:rsidRPr="000D2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D22E0">
        <w:rPr>
          <w:rFonts w:ascii="Times New Roman" w:hAnsi="Times New Roman"/>
          <w:bCs/>
          <w:sz w:val="28"/>
          <w:szCs w:val="28"/>
        </w:rPr>
        <w:t xml:space="preserve">та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лише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професійного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22E0">
        <w:rPr>
          <w:rFonts w:ascii="Times New Roman" w:hAnsi="Times New Roman"/>
          <w:bCs/>
          <w:sz w:val="28"/>
          <w:szCs w:val="28"/>
        </w:rPr>
        <w:t>використання</w:t>
      </w:r>
      <w:proofErr w:type="spellEnd"/>
      <w:r w:rsidRPr="000D22E0">
        <w:rPr>
          <w:rFonts w:ascii="Times New Roman" w:hAnsi="Times New Roman"/>
          <w:bCs/>
          <w:sz w:val="28"/>
          <w:szCs w:val="28"/>
        </w:rPr>
        <w:t>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>2. Час тестування для отримання результату після збору зразка матеріалу</w:t>
      </w:r>
      <w:r w:rsidRPr="000D22E0">
        <w:rPr>
          <w:bCs/>
          <w:sz w:val="28"/>
          <w:szCs w:val="28"/>
        </w:rPr>
        <w:t>. До 15 хвилин.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>3. Зразок матеріалу.</w:t>
      </w:r>
      <w:r w:rsidRPr="000D22E0">
        <w:rPr>
          <w:bCs/>
          <w:sz w:val="28"/>
          <w:szCs w:val="28"/>
        </w:rPr>
        <w:t xml:space="preserve"> Назальний секрет.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 xml:space="preserve">4. </w:t>
      </w:r>
      <w:bookmarkStart w:id="0" w:name="_Hlk109296751"/>
      <w:r w:rsidRPr="000D22E0">
        <w:rPr>
          <w:bCs/>
          <w:i/>
          <w:iCs/>
          <w:sz w:val="28"/>
          <w:szCs w:val="28"/>
        </w:rPr>
        <w:t>Клінічні параметри щодо виявлення антигену</w:t>
      </w:r>
      <w:r w:rsidRPr="000D22E0">
        <w:rPr>
          <w:bCs/>
          <w:i/>
          <w:iCs/>
          <w:sz w:val="28"/>
          <w:szCs w:val="28"/>
          <w:lang w:val="ru-RU"/>
        </w:rPr>
        <w:t xml:space="preserve"> </w:t>
      </w:r>
      <w:r w:rsidRPr="000D22E0">
        <w:rPr>
          <w:bCs/>
          <w:i/>
          <w:iCs/>
          <w:sz w:val="28"/>
          <w:szCs w:val="28"/>
          <w:lang w:val="en-US"/>
        </w:rPr>
        <w:t>COVID</w:t>
      </w:r>
      <w:r w:rsidRPr="000D22E0">
        <w:rPr>
          <w:bCs/>
          <w:i/>
          <w:iCs/>
          <w:sz w:val="28"/>
          <w:szCs w:val="28"/>
          <w:lang w:val="ru-RU"/>
        </w:rPr>
        <w:t>-19</w:t>
      </w:r>
      <w:r w:rsidRPr="000D22E0">
        <w:rPr>
          <w:bCs/>
          <w:i/>
          <w:iCs/>
          <w:sz w:val="28"/>
          <w:szCs w:val="28"/>
        </w:rPr>
        <w:t>.</w:t>
      </w:r>
      <w:r w:rsidRPr="000D22E0">
        <w:rPr>
          <w:bCs/>
          <w:sz w:val="28"/>
          <w:szCs w:val="28"/>
        </w:rPr>
        <w:t xml:space="preserve"> Відносна чутливість: не гірше 95%. Відносна специфічність: не гірше 99%.</w:t>
      </w:r>
      <w:bookmarkEnd w:id="0"/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>5. Клінічні параметри щодо виявлення антигену до грипу А.</w:t>
      </w:r>
      <w:r w:rsidRPr="000D22E0">
        <w:rPr>
          <w:bCs/>
          <w:sz w:val="28"/>
          <w:szCs w:val="28"/>
        </w:rPr>
        <w:t xml:space="preserve"> Відносна чутливість: не гірше 95%. Відносна специфічність: не гірше </w:t>
      </w:r>
      <w:r w:rsidRPr="000D22E0">
        <w:rPr>
          <w:bCs/>
          <w:sz w:val="28"/>
          <w:szCs w:val="28"/>
          <w:lang w:val="ru-RU"/>
        </w:rPr>
        <w:t>100</w:t>
      </w:r>
      <w:r w:rsidRPr="000D22E0">
        <w:rPr>
          <w:bCs/>
          <w:sz w:val="28"/>
          <w:szCs w:val="28"/>
        </w:rPr>
        <w:t>%.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>6. Клінічні параметри щодо виявлення антигену до грипу В.</w:t>
      </w:r>
      <w:r w:rsidRPr="000D22E0">
        <w:rPr>
          <w:bCs/>
          <w:sz w:val="28"/>
          <w:szCs w:val="28"/>
        </w:rPr>
        <w:t xml:space="preserve"> Відносна чутливість: не гірше 93%. Відносна специфічність: не гірше 100%.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>7. Конструктивні характеристики.</w:t>
      </w:r>
      <w:r w:rsidRPr="000D22E0">
        <w:rPr>
          <w:bCs/>
          <w:sz w:val="28"/>
          <w:szCs w:val="28"/>
        </w:rPr>
        <w:t xml:space="preserve"> Швидкий </w:t>
      </w:r>
      <w:proofErr w:type="spellStart"/>
      <w:r w:rsidRPr="000D22E0">
        <w:rPr>
          <w:bCs/>
          <w:sz w:val="28"/>
          <w:szCs w:val="28"/>
        </w:rPr>
        <w:t>однокроковий</w:t>
      </w:r>
      <w:proofErr w:type="spellEnd"/>
      <w:r w:rsidRPr="000D22E0">
        <w:rPr>
          <w:bCs/>
          <w:sz w:val="28"/>
          <w:szCs w:val="28"/>
        </w:rPr>
        <w:t xml:space="preserve"> </w:t>
      </w:r>
      <w:proofErr w:type="spellStart"/>
      <w:r w:rsidRPr="000D22E0">
        <w:rPr>
          <w:bCs/>
          <w:sz w:val="28"/>
          <w:szCs w:val="28"/>
        </w:rPr>
        <w:t>імунохроматографічний</w:t>
      </w:r>
      <w:proofErr w:type="spellEnd"/>
      <w:r w:rsidRPr="000D22E0">
        <w:rPr>
          <w:bCs/>
          <w:sz w:val="28"/>
          <w:szCs w:val="28"/>
        </w:rPr>
        <w:t xml:space="preserve"> тест повинен мати конструкцію тест-ручки, що забезпечує зручність проведення експрес-діагностики медичним персоналом. Подушечка для зразка тест-ручки має бути з’єднана з тест смужкою та після забору матеріалу повинна занурюватись безпосередньо в ємність з буфером для екстракції і подальшої тестової реакції, що виключає необхідність додаткового </w:t>
      </w:r>
      <w:proofErr w:type="spellStart"/>
      <w:r w:rsidRPr="000D22E0">
        <w:rPr>
          <w:bCs/>
          <w:sz w:val="28"/>
          <w:szCs w:val="28"/>
        </w:rPr>
        <w:t>розкапування</w:t>
      </w:r>
      <w:proofErr w:type="spellEnd"/>
      <w:r w:rsidRPr="000D22E0">
        <w:rPr>
          <w:bCs/>
          <w:sz w:val="28"/>
          <w:szCs w:val="28"/>
        </w:rPr>
        <w:t xml:space="preserve"> екстрагованого матеріалу та забезпечує </w:t>
      </w:r>
      <w:proofErr w:type="spellStart"/>
      <w:r w:rsidRPr="000D22E0">
        <w:rPr>
          <w:bCs/>
          <w:sz w:val="28"/>
          <w:szCs w:val="28"/>
        </w:rPr>
        <w:t>однокрокову</w:t>
      </w:r>
      <w:proofErr w:type="spellEnd"/>
      <w:r w:rsidRPr="000D22E0">
        <w:rPr>
          <w:bCs/>
          <w:sz w:val="28"/>
          <w:szCs w:val="28"/>
        </w:rPr>
        <w:t xml:space="preserve"> процедуру тестування.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>8. Пакування.</w:t>
      </w:r>
      <w:r w:rsidRPr="000D22E0">
        <w:rPr>
          <w:bCs/>
          <w:sz w:val="28"/>
          <w:szCs w:val="28"/>
        </w:rPr>
        <w:t xml:space="preserve"> Пакування швидкого </w:t>
      </w:r>
      <w:proofErr w:type="spellStart"/>
      <w:r w:rsidRPr="000D22E0">
        <w:rPr>
          <w:bCs/>
          <w:sz w:val="28"/>
          <w:szCs w:val="28"/>
        </w:rPr>
        <w:t>однокрокового</w:t>
      </w:r>
      <w:proofErr w:type="spellEnd"/>
      <w:r w:rsidRPr="000D22E0">
        <w:rPr>
          <w:bCs/>
          <w:sz w:val="28"/>
          <w:szCs w:val="28"/>
        </w:rPr>
        <w:t xml:space="preserve"> </w:t>
      </w:r>
      <w:proofErr w:type="spellStart"/>
      <w:r w:rsidRPr="000D22E0">
        <w:rPr>
          <w:bCs/>
          <w:sz w:val="28"/>
          <w:szCs w:val="28"/>
        </w:rPr>
        <w:t>імунохроматографічного</w:t>
      </w:r>
      <w:proofErr w:type="spellEnd"/>
      <w:r w:rsidRPr="000D22E0">
        <w:rPr>
          <w:bCs/>
          <w:sz w:val="28"/>
          <w:szCs w:val="28"/>
        </w:rPr>
        <w:t xml:space="preserve"> тесту повинно включати: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sz w:val="28"/>
          <w:szCs w:val="28"/>
        </w:rPr>
        <w:t>- індивідуальну тест-ручку із захисним ковпачком;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sz w:val="28"/>
          <w:szCs w:val="28"/>
        </w:rPr>
        <w:t>- індивідуальну ємність з буфером для екстракції.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>9. Контроль якості.</w:t>
      </w:r>
      <w:r w:rsidRPr="000D22E0">
        <w:rPr>
          <w:bCs/>
          <w:sz w:val="28"/>
          <w:szCs w:val="28"/>
        </w:rPr>
        <w:t xml:space="preserve"> Швидкий </w:t>
      </w:r>
      <w:proofErr w:type="spellStart"/>
      <w:r w:rsidRPr="000D22E0">
        <w:rPr>
          <w:bCs/>
          <w:sz w:val="28"/>
          <w:szCs w:val="28"/>
        </w:rPr>
        <w:t>однокроковий</w:t>
      </w:r>
      <w:proofErr w:type="spellEnd"/>
      <w:r w:rsidRPr="000D22E0">
        <w:rPr>
          <w:bCs/>
          <w:sz w:val="28"/>
          <w:szCs w:val="28"/>
        </w:rPr>
        <w:t xml:space="preserve"> </w:t>
      </w:r>
      <w:proofErr w:type="spellStart"/>
      <w:r w:rsidRPr="000D22E0">
        <w:rPr>
          <w:bCs/>
          <w:sz w:val="28"/>
          <w:szCs w:val="28"/>
        </w:rPr>
        <w:t>імунохроматографічний</w:t>
      </w:r>
      <w:proofErr w:type="spellEnd"/>
      <w:r w:rsidRPr="000D22E0">
        <w:rPr>
          <w:bCs/>
          <w:sz w:val="28"/>
          <w:szCs w:val="28"/>
        </w:rPr>
        <w:t xml:space="preserve"> тест повинен мати вбудований (процедурний) контроль.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>10. Умови зберігання.</w:t>
      </w:r>
      <w:r w:rsidRPr="000D22E0">
        <w:rPr>
          <w:bCs/>
          <w:sz w:val="28"/>
          <w:szCs w:val="28"/>
        </w:rPr>
        <w:t xml:space="preserve"> Швидкий </w:t>
      </w:r>
      <w:proofErr w:type="spellStart"/>
      <w:r w:rsidRPr="000D22E0">
        <w:rPr>
          <w:bCs/>
          <w:sz w:val="28"/>
          <w:szCs w:val="28"/>
        </w:rPr>
        <w:t>однокроковий</w:t>
      </w:r>
      <w:proofErr w:type="spellEnd"/>
      <w:r w:rsidRPr="000D22E0">
        <w:rPr>
          <w:bCs/>
          <w:sz w:val="28"/>
          <w:szCs w:val="28"/>
        </w:rPr>
        <w:t xml:space="preserve"> </w:t>
      </w:r>
      <w:proofErr w:type="spellStart"/>
      <w:r w:rsidRPr="000D22E0">
        <w:rPr>
          <w:bCs/>
          <w:sz w:val="28"/>
          <w:szCs w:val="28"/>
        </w:rPr>
        <w:t>імунохроматографічний</w:t>
      </w:r>
      <w:proofErr w:type="spellEnd"/>
      <w:r w:rsidRPr="000D22E0">
        <w:rPr>
          <w:bCs/>
          <w:sz w:val="28"/>
          <w:szCs w:val="28"/>
        </w:rPr>
        <w:t xml:space="preserve"> тест повинен зберігатися при температурі від 2 ˚С до 30 ˚С.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 xml:space="preserve">11. Мінімальний термін придатності від дати виробництва. </w:t>
      </w:r>
      <w:r w:rsidRPr="000D22E0">
        <w:rPr>
          <w:bCs/>
          <w:sz w:val="28"/>
          <w:szCs w:val="28"/>
        </w:rPr>
        <w:t>Не менше, ніж 24 місяці.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i/>
          <w:i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>Відповідність запропонованого товару спеціальним вимогам має підтверджуватись технічним або будь-яким іншим документом виробника.</w:t>
      </w:r>
    </w:p>
    <w:p w:rsidR="000D22E0" w:rsidRPr="000D22E0" w:rsidRDefault="000D22E0" w:rsidP="000D22E0">
      <w:pPr>
        <w:adjustRightInd w:val="0"/>
        <w:ind w:firstLine="720"/>
        <w:jc w:val="both"/>
        <w:rPr>
          <w:bCs/>
          <w:sz w:val="28"/>
          <w:szCs w:val="28"/>
        </w:rPr>
      </w:pPr>
    </w:p>
    <w:p w:rsidR="000D22E0" w:rsidRPr="000D22E0" w:rsidRDefault="000D22E0" w:rsidP="000D22E0">
      <w:pPr>
        <w:adjustRightInd w:val="0"/>
        <w:ind w:firstLine="720"/>
        <w:jc w:val="both"/>
        <w:rPr>
          <w:bCs/>
          <w:i/>
          <w:iCs/>
          <w:sz w:val="28"/>
          <w:szCs w:val="28"/>
        </w:rPr>
      </w:pPr>
      <w:r w:rsidRPr="000D22E0">
        <w:rPr>
          <w:bCs/>
          <w:i/>
          <w:iCs/>
          <w:sz w:val="28"/>
          <w:szCs w:val="28"/>
        </w:rPr>
        <w:t>Загальні вимоги:</w:t>
      </w:r>
    </w:p>
    <w:p w:rsidR="000D22E0" w:rsidRPr="000D22E0" w:rsidRDefault="000D22E0" w:rsidP="000D22E0">
      <w:pPr>
        <w:tabs>
          <w:tab w:val="left" w:pos="426"/>
        </w:tabs>
        <w:suppressAutoHyphens/>
        <w:ind w:right="-79" w:firstLine="720"/>
        <w:jc w:val="both"/>
        <w:rPr>
          <w:sz w:val="28"/>
          <w:szCs w:val="28"/>
        </w:rPr>
      </w:pPr>
      <w:r w:rsidRPr="000D22E0">
        <w:rPr>
          <w:sz w:val="28"/>
          <w:szCs w:val="28"/>
        </w:rPr>
        <w:t xml:space="preserve">1. Медичні вироби, запропоновані для цієї закупівлі, повинні відповідати вимогам Технічного регламенту щодо медичних виробів або Технічного регламенту щодо медичних виробів для діагностики </w:t>
      </w:r>
      <w:proofErr w:type="spellStart"/>
      <w:r w:rsidRPr="000D22E0">
        <w:rPr>
          <w:sz w:val="28"/>
          <w:szCs w:val="28"/>
        </w:rPr>
        <w:t>in</w:t>
      </w:r>
      <w:proofErr w:type="spellEnd"/>
      <w:r w:rsidRPr="000D22E0">
        <w:rPr>
          <w:sz w:val="28"/>
          <w:szCs w:val="28"/>
        </w:rPr>
        <w:t xml:space="preserve"> </w:t>
      </w:r>
      <w:proofErr w:type="spellStart"/>
      <w:r w:rsidRPr="000D22E0">
        <w:rPr>
          <w:sz w:val="28"/>
          <w:szCs w:val="28"/>
        </w:rPr>
        <w:t>vitro</w:t>
      </w:r>
      <w:proofErr w:type="spellEnd"/>
      <w:r w:rsidRPr="000D22E0">
        <w:rPr>
          <w:sz w:val="28"/>
          <w:szCs w:val="28"/>
        </w:rPr>
        <w:t xml:space="preserve"> або Технічного регламенту щодо активних медичних виробів, які імплантують. Для підтвердження учасник повинен надати копію відповідного документу або лист-роз’яснення щодо його відсутності.</w:t>
      </w:r>
    </w:p>
    <w:p w:rsidR="000D22E0" w:rsidRPr="000D22E0" w:rsidRDefault="000D22E0" w:rsidP="000D22E0">
      <w:pPr>
        <w:tabs>
          <w:tab w:val="left" w:pos="426"/>
        </w:tabs>
        <w:suppressAutoHyphens/>
        <w:ind w:right="-79" w:firstLine="720"/>
        <w:jc w:val="both"/>
        <w:rPr>
          <w:sz w:val="28"/>
          <w:szCs w:val="28"/>
        </w:rPr>
      </w:pPr>
      <w:r w:rsidRPr="000D22E0">
        <w:rPr>
          <w:sz w:val="28"/>
          <w:szCs w:val="28"/>
        </w:rPr>
        <w:t>2. Медичні вироби повинні мати інструкцію із застосування. Для підтвердження учасником надається копія інструкції із застосування медичних виробів.</w:t>
      </w:r>
    </w:p>
    <w:p w:rsidR="000D22E0" w:rsidRPr="000D22E0" w:rsidRDefault="000D22E0" w:rsidP="000D22E0">
      <w:pPr>
        <w:tabs>
          <w:tab w:val="left" w:pos="426"/>
        </w:tabs>
        <w:suppressAutoHyphens/>
        <w:ind w:right="-79" w:firstLine="720"/>
        <w:jc w:val="both"/>
        <w:rPr>
          <w:sz w:val="28"/>
          <w:szCs w:val="28"/>
        </w:rPr>
      </w:pPr>
      <w:r w:rsidRPr="000D22E0">
        <w:rPr>
          <w:sz w:val="28"/>
          <w:szCs w:val="28"/>
        </w:rPr>
        <w:t>3. Термін придатності медичних виробів на момент  поставки повинен становити не менше 70% від встановленого інструкцією терміну придатності. Для підтвердження учасник надає гарантійний лист про термін придатності медичних виробів.</w:t>
      </w:r>
    </w:p>
    <w:p w:rsidR="000D22E0" w:rsidRPr="000D22E0" w:rsidRDefault="000D22E0" w:rsidP="000D22E0">
      <w:pPr>
        <w:tabs>
          <w:tab w:val="left" w:pos="426"/>
        </w:tabs>
        <w:suppressAutoHyphens/>
        <w:ind w:right="-79" w:firstLine="720"/>
        <w:jc w:val="both"/>
        <w:rPr>
          <w:sz w:val="28"/>
          <w:szCs w:val="28"/>
        </w:rPr>
      </w:pPr>
      <w:r w:rsidRPr="000D22E0">
        <w:rPr>
          <w:sz w:val="28"/>
          <w:szCs w:val="28"/>
        </w:rPr>
        <w:t>4. Строк поставки медичних виробів повинен становити не більше 10 днів з моменту отримання письмової заявки. Для підтвердження учасник надає гарантійний лист про строк поставки медичних виробів.</w:t>
      </w:r>
    </w:p>
    <w:p w:rsidR="000D22E0" w:rsidRPr="000D22E0" w:rsidRDefault="000D22E0" w:rsidP="000D22E0">
      <w:pPr>
        <w:tabs>
          <w:tab w:val="left" w:pos="426"/>
          <w:tab w:val="left" w:pos="720"/>
        </w:tabs>
        <w:ind w:right="-79" w:firstLine="720"/>
        <w:jc w:val="both"/>
        <w:rPr>
          <w:sz w:val="28"/>
          <w:szCs w:val="28"/>
        </w:rPr>
      </w:pPr>
      <w:r w:rsidRPr="000D22E0">
        <w:rPr>
          <w:sz w:val="28"/>
          <w:szCs w:val="28"/>
        </w:rPr>
        <w:t xml:space="preserve">5.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 </w:t>
      </w:r>
    </w:p>
    <w:p w:rsidR="000D22E0" w:rsidRPr="000D22E0" w:rsidRDefault="000D22E0" w:rsidP="000D22E0">
      <w:pPr>
        <w:ind w:right="15" w:firstLine="720"/>
        <w:contextualSpacing/>
        <w:jc w:val="both"/>
        <w:rPr>
          <w:bCs/>
          <w:sz w:val="28"/>
          <w:szCs w:val="28"/>
        </w:rPr>
      </w:pPr>
      <w:r w:rsidRPr="000D22E0">
        <w:rPr>
          <w:sz w:val="28"/>
          <w:szCs w:val="28"/>
        </w:rPr>
        <w:t xml:space="preserve">6. Запропонований товар повинен бути якісним. Для підтвердження учасник надає сертифікат відповідності, виданий відповідним органом з сертифікації, акредитованим національним органом України з акредитації,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</w:t>
      </w:r>
      <w:r w:rsidRPr="000D22E0">
        <w:rPr>
          <w:bCs/>
          <w:sz w:val="28"/>
          <w:szCs w:val="28"/>
        </w:rPr>
        <w:t>В разі, якщо це не передбачено законодавством України, необхідно надати відповідний лист-роз</w:t>
      </w:r>
      <w:r w:rsidRPr="000D22E0">
        <w:rPr>
          <w:bCs/>
          <w:sz w:val="28"/>
          <w:szCs w:val="28"/>
          <w:lang w:val="ru-RU"/>
        </w:rPr>
        <w:t>’</w:t>
      </w:r>
      <w:proofErr w:type="spellStart"/>
      <w:r w:rsidRPr="000D22E0">
        <w:rPr>
          <w:bCs/>
          <w:sz w:val="28"/>
          <w:szCs w:val="28"/>
          <w:lang w:val="ru-RU"/>
        </w:rPr>
        <w:t>яснення</w:t>
      </w:r>
      <w:proofErr w:type="spellEnd"/>
      <w:r w:rsidRPr="000D22E0">
        <w:rPr>
          <w:bCs/>
          <w:sz w:val="28"/>
          <w:szCs w:val="28"/>
          <w:lang w:val="ru-RU"/>
        </w:rPr>
        <w:t>.</w:t>
      </w:r>
    </w:p>
    <w:p w:rsidR="000D22E0" w:rsidRPr="000D22E0" w:rsidRDefault="000D22E0" w:rsidP="000D22E0">
      <w:pPr>
        <w:ind w:firstLine="720"/>
        <w:jc w:val="both"/>
        <w:rPr>
          <w:bCs/>
          <w:iCs/>
          <w:sz w:val="28"/>
          <w:szCs w:val="28"/>
        </w:rPr>
      </w:pPr>
      <w:r w:rsidRPr="000D22E0">
        <w:rPr>
          <w:color w:val="000000"/>
          <w:sz w:val="28"/>
          <w:szCs w:val="28"/>
          <w:shd w:val="clear" w:color="auto" w:fill="FFFFFF"/>
        </w:rPr>
        <w:t xml:space="preserve">7. </w:t>
      </w:r>
      <w:r w:rsidRPr="000D22E0">
        <w:rPr>
          <w:rStyle w:val="s2"/>
          <w:sz w:val="28"/>
          <w:szCs w:val="28"/>
        </w:rPr>
        <w:t>Товар не повинен відрізнятися від вимог замовника за технічними, якісними та кількісними характеристиками, зазначеними в документації. Для підтвердження учасник надає таблицю, з посиланням на сторінку технічної документації виробника, на якій підтверджується значення показника згідно вимог замовника (інструкції з експлуатації або посібника користувача, або проспекту, або технічного опису, або технічних умов, або іншого технічного документу виробника мовою оригіналу та з перекладом на українську мову).</w:t>
      </w:r>
    </w:p>
    <w:p w:rsidR="000D22E0" w:rsidRPr="000D22E0" w:rsidRDefault="000D22E0" w:rsidP="000D22E0">
      <w:pPr>
        <w:ind w:firstLine="720"/>
        <w:jc w:val="both"/>
        <w:rPr>
          <w:sz w:val="28"/>
          <w:szCs w:val="28"/>
        </w:rPr>
      </w:pPr>
      <w:r w:rsidRPr="000D22E0">
        <w:rPr>
          <w:sz w:val="28"/>
          <w:szCs w:val="28"/>
        </w:rPr>
        <w:t>8. Постачання медичних виробів повинно здійснюватися із забезпеченням відповідних умов зберігання (холодового ланцюга) згідно з інструкцією. Для підтвердження учасник надає відповідний гарантійний лист.</w:t>
      </w:r>
    </w:p>
    <w:p w:rsidR="000D22E0" w:rsidRPr="000D22E0" w:rsidRDefault="000D22E0" w:rsidP="000D22E0">
      <w:pPr>
        <w:ind w:firstLine="720"/>
        <w:jc w:val="both"/>
        <w:rPr>
          <w:sz w:val="28"/>
          <w:szCs w:val="28"/>
        </w:rPr>
      </w:pPr>
      <w:r w:rsidRPr="000D22E0">
        <w:rPr>
          <w:bCs/>
          <w:iCs/>
          <w:sz w:val="28"/>
          <w:szCs w:val="28"/>
        </w:rPr>
        <w:t xml:space="preserve">9. Пакування має забезпечувати збереження якості та цілісності товару. Пакування та маркування мають відповідати вимогам українського законодавства. </w:t>
      </w:r>
      <w:r w:rsidRPr="000D22E0">
        <w:rPr>
          <w:sz w:val="28"/>
          <w:szCs w:val="28"/>
        </w:rPr>
        <w:t>Для підтвердження учасник надає відповідний гарантійний лист.</w:t>
      </w:r>
    </w:p>
    <w:p w:rsidR="000D22E0" w:rsidRPr="000D22E0" w:rsidRDefault="000D22E0" w:rsidP="000D22E0">
      <w:pPr>
        <w:pStyle w:val="aa"/>
        <w:tabs>
          <w:tab w:val="left" w:pos="720"/>
        </w:tabs>
        <w:spacing w:after="0"/>
        <w:ind w:left="0" w:right="-142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D22E0">
        <w:rPr>
          <w:rFonts w:ascii="Times New Roman" w:hAnsi="Times New Roman"/>
          <w:bCs/>
          <w:sz w:val="28"/>
          <w:szCs w:val="28"/>
          <w:lang w:val="uk-UA"/>
        </w:rPr>
        <w:lastRenderedPageBreak/>
        <w:t>10</w:t>
      </w:r>
      <w:r w:rsidRPr="000D22E0">
        <w:rPr>
          <w:rFonts w:ascii="Times New Roman" w:hAnsi="Times New Roman"/>
          <w:bCs/>
          <w:sz w:val="28"/>
          <w:szCs w:val="28"/>
        </w:rPr>
        <w:t xml:space="preserve">. </w:t>
      </w:r>
      <w:r w:rsidRPr="000D22E0">
        <w:rPr>
          <w:rStyle w:val="s2"/>
          <w:rFonts w:ascii="Times New Roman" w:hAnsi="Times New Roman"/>
          <w:sz w:val="28"/>
          <w:szCs w:val="28"/>
          <w:lang w:val="uk-UA" w:eastAsia="en-US"/>
        </w:rPr>
        <w:t>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0D22E0" w:rsidRPr="00914003" w:rsidRDefault="000D22E0" w:rsidP="000D22E0">
      <w:pPr>
        <w:jc w:val="center"/>
        <w:rPr>
          <w:b/>
          <w:bCs/>
          <w:sz w:val="24"/>
          <w:szCs w:val="24"/>
        </w:rPr>
      </w:pPr>
    </w:p>
    <w:p w:rsidR="000D22E0" w:rsidRPr="00914003" w:rsidRDefault="000D22E0" w:rsidP="000D22E0">
      <w:pPr>
        <w:jc w:val="center"/>
        <w:rPr>
          <w:b/>
          <w:bCs/>
          <w:sz w:val="24"/>
          <w:szCs w:val="24"/>
        </w:rPr>
      </w:pPr>
      <w:r w:rsidRPr="00914003">
        <w:rPr>
          <w:b/>
          <w:bCs/>
          <w:sz w:val="24"/>
          <w:szCs w:val="24"/>
        </w:rPr>
        <w:t>Форма тендерної пропозиції</w:t>
      </w:r>
    </w:p>
    <w:p w:rsidR="000D22E0" w:rsidRDefault="000D22E0" w:rsidP="000D22E0">
      <w:pPr>
        <w:jc w:val="center"/>
        <w:rPr>
          <w:bCs/>
          <w:iCs/>
          <w:sz w:val="24"/>
          <w:szCs w:val="24"/>
        </w:rPr>
      </w:pPr>
    </w:p>
    <w:p w:rsidR="000D22E0" w:rsidRPr="00663762" w:rsidRDefault="000D22E0" w:rsidP="000D22E0">
      <w:pPr>
        <w:jc w:val="center"/>
        <w:rPr>
          <w:bCs/>
          <w:iCs/>
        </w:rPr>
      </w:pPr>
      <w:r w:rsidRPr="00663762">
        <w:rPr>
          <w:bCs/>
          <w:iCs/>
        </w:rPr>
        <w:t>(назва процедури закупівлі)</w:t>
      </w:r>
    </w:p>
    <w:p w:rsidR="000D22E0" w:rsidRPr="00914003" w:rsidRDefault="000D22E0" w:rsidP="000D22E0">
      <w:pPr>
        <w:jc w:val="center"/>
        <w:rPr>
          <w:bCs/>
          <w:iCs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1701"/>
        <w:gridCol w:w="1800"/>
        <w:gridCol w:w="1260"/>
        <w:gridCol w:w="1440"/>
      </w:tblGrid>
      <w:tr w:rsidR="000D22E0" w:rsidRPr="00914003" w:rsidTr="000D22E0">
        <w:trPr>
          <w:trHeight w:val="128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>
            <w:pPr>
              <w:ind w:left="-142" w:right="-97"/>
              <w:jc w:val="center"/>
            </w:pPr>
            <w:r w:rsidRPr="00914003">
              <w:t>№ лоту/</w:t>
            </w:r>
          </w:p>
          <w:p w:rsidR="000D22E0" w:rsidRPr="00914003" w:rsidRDefault="000D22E0" w:rsidP="000D22E0">
            <w:pPr>
              <w:ind w:left="-142" w:right="-97"/>
              <w:jc w:val="center"/>
            </w:pPr>
            <w:r w:rsidRPr="00914003"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>
            <w:pPr>
              <w:ind w:left="78" w:hanging="78"/>
              <w:jc w:val="center"/>
            </w:pPr>
            <w:r w:rsidRPr="00914003">
              <w:t>Найменування предмету закупівлі/товару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>
            <w:pPr>
              <w:ind w:firstLine="33"/>
              <w:jc w:val="center"/>
            </w:pPr>
            <w:r w:rsidRPr="00914003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>
            <w:pPr>
              <w:jc w:val="center"/>
            </w:pPr>
            <w:r w:rsidRPr="00914003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>
            <w:pPr>
              <w:jc w:val="center"/>
            </w:pPr>
            <w:r w:rsidRPr="00914003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>
            <w:pPr>
              <w:jc w:val="center"/>
            </w:pPr>
            <w:r w:rsidRPr="00914003">
              <w:t>Кількість,</w:t>
            </w:r>
          </w:p>
          <w:p w:rsidR="000D22E0" w:rsidRPr="00914003" w:rsidRDefault="000D22E0" w:rsidP="000D22E0">
            <w:pPr>
              <w:jc w:val="center"/>
            </w:pPr>
            <w:r w:rsidRPr="00914003">
              <w:t>од.</w:t>
            </w:r>
          </w:p>
        </w:tc>
      </w:tr>
      <w:tr w:rsidR="000D22E0" w:rsidRPr="00914003" w:rsidTr="000D22E0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/>
          <w:p w:rsidR="000D22E0" w:rsidRPr="00914003" w:rsidRDefault="000D22E0" w:rsidP="000D22E0"/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0" w:rsidRPr="00914003" w:rsidRDefault="000D22E0" w:rsidP="000D22E0">
            <w:pPr>
              <w:ind w:firstLine="284"/>
              <w:jc w:val="center"/>
            </w:pPr>
          </w:p>
        </w:tc>
      </w:tr>
    </w:tbl>
    <w:p w:rsidR="000D22E0" w:rsidRPr="00914003" w:rsidRDefault="000D22E0" w:rsidP="000D22E0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0D22E0" w:rsidRPr="006A3CF6" w:rsidTr="000D22E0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0D22E0" w:rsidRPr="006A3CF6" w:rsidRDefault="000D22E0" w:rsidP="000D22E0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0D22E0" w:rsidRPr="006A3CF6" w:rsidRDefault="000D22E0" w:rsidP="000D22E0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0D22E0" w:rsidRPr="006A3CF6" w:rsidRDefault="000D22E0" w:rsidP="000D22E0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 П.І.Б.)</w:t>
            </w:r>
          </w:p>
          <w:p w:rsidR="000D22E0" w:rsidRPr="006A3CF6" w:rsidRDefault="000D22E0" w:rsidP="000D22E0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М. П.</w:t>
            </w:r>
            <w:r>
              <w:rPr>
                <w:sz w:val="16"/>
                <w:szCs w:val="16"/>
              </w:rPr>
              <w:t>*</w:t>
            </w:r>
            <w:r w:rsidRPr="006A3CF6">
              <w:rPr>
                <w:sz w:val="16"/>
                <w:szCs w:val="16"/>
              </w:rPr>
              <w:t xml:space="preserve">                                     </w:t>
            </w:r>
          </w:p>
        </w:tc>
      </w:tr>
    </w:tbl>
    <w:p w:rsidR="000D22E0" w:rsidRPr="006A3CF6" w:rsidRDefault="000D22E0" w:rsidP="000D22E0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E5AE8">
        <w:rPr>
          <w:sz w:val="20"/>
          <w:szCs w:val="20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0D22E0" w:rsidRPr="00914003" w:rsidRDefault="000D22E0" w:rsidP="000D22E0">
      <w:pPr>
        <w:ind w:firstLine="708"/>
        <w:jc w:val="both"/>
        <w:rPr>
          <w:bCs/>
        </w:rPr>
      </w:pPr>
      <w:r>
        <w:rPr>
          <w:bCs/>
          <w:iCs/>
        </w:rPr>
        <w:t>**</w:t>
      </w:r>
      <w:r w:rsidRPr="00914003">
        <w:rPr>
          <w:bCs/>
        </w:rPr>
        <w:t xml:space="preserve"> </w:t>
      </w:r>
      <w:r>
        <w:rPr>
          <w:bCs/>
        </w:rPr>
        <w:t>У</w:t>
      </w:r>
      <w:r w:rsidRPr="00914003">
        <w:rPr>
          <w:bCs/>
        </w:rPr>
        <w:t xml:space="preserve">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2D1367" w:rsidRPr="00F46B3B" w:rsidRDefault="002D1367" w:rsidP="001A02B9">
      <w:pPr>
        <w:jc w:val="both"/>
        <w:rPr>
          <w:bCs/>
          <w:sz w:val="28"/>
          <w:szCs w:val="28"/>
        </w:rPr>
      </w:pPr>
    </w:p>
    <w:p w:rsidR="00520BEA" w:rsidRPr="00747D93" w:rsidRDefault="00520BEA" w:rsidP="003C4207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C4207">
        <w:rPr>
          <w:rFonts w:eastAsia="MS Mincho"/>
          <w:b/>
          <w:sz w:val="28"/>
          <w:szCs w:val="28"/>
          <w:u w:val="single"/>
        </w:rPr>
        <w:t xml:space="preserve">2. Розмір бюджетного призначення за кошторисом або очікувана </w:t>
      </w:r>
      <w:r w:rsidRPr="00747D93">
        <w:rPr>
          <w:rFonts w:eastAsia="MS Mincho"/>
          <w:b/>
          <w:sz w:val="28"/>
          <w:szCs w:val="28"/>
          <w:u w:val="single"/>
        </w:rPr>
        <w:t>вартість предмета закупівлі:</w:t>
      </w:r>
    </w:p>
    <w:p w:rsidR="000D22E0" w:rsidRPr="000D22E0" w:rsidRDefault="000D22E0" w:rsidP="000D22E0">
      <w:pPr>
        <w:jc w:val="both"/>
        <w:rPr>
          <w:b/>
          <w:bCs/>
          <w:sz w:val="28"/>
          <w:szCs w:val="28"/>
        </w:rPr>
      </w:pPr>
      <w:r w:rsidRPr="000D22E0">
        <w:rPr>
          <w:b/>
          <w:bCs/>
          <w:sz w:val="28"/>
          <w:szCs w:val="28"/>
        </w:rPr>
        <w:t xml:space="preserve">22 312 419,00 грн </w:t>
      </w:r>
      <w:r w:rsidRPr="000D22E0">
        <w:rPr>
          <w:bCs/>
          <w:sz w:val="28"/>
          <w:szCs w:val="28"/>
        </w:rPr>
        <w:t>(Двадцять два мільйони триста дванадцять тисяч чотириста дев'ятнадцять гривень 00 копійок)</w:t>
      </w:r>
      <w:r w:rsidRPr="000D22E0">
        <w:rPr>
          <w:rFonts w:eastAsia="MS Mincho"/>
          <w:sz w:val="28"/>
          <w:szCs w:val="28"/>
        </w:rPr>
        <w:t xml:space="preserve">, </w:t>
      </w:r>
      <w:r w:rsidRPr="000D22E0">
        <w:rPr>
          <w:rFonts w:eastAsia="MS Mincho"/>
          <w:b/>
          <w:bCs/>
          <w:sz w:val="28"/>
          <w:szCs w:val="28"/>
        </w:rPr>
        <w:t>без ПДВ</w:t>
      </w:r>
      <w:r w:rsidRPr="000D22E0">
        <w:rPr>
          <w:rFonts w:eastAsia="MS Mincho"/>
          <w:sz w:val="28"/>
          <w:szCs w:val="28"/>
        </w:rPr>
        <w:t>.</w:t>
      </w:r>
    </w:p>
    <w:p w:rsidR="00E7188A" w:rsidRPr="003C4207" w:rsidRDefault="00E7188A" w:rsidP="003C4207">
      <w:pPr>
        <w:jc w:val="both"/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sectPr w:rsidR="00E7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E11533"/>
    <w:multiLevelType w:val="hybridMultilevel"/>
    <w:tmpl w:val="0E58A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35"/>
  </w:num>
  <w:num w:numId="4">
    <w:abstractNumId w:val="2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6"/>
  </w:num>
  <w:num w:numId="26">
    <w:abstractNumId w:val="11"/>
  </w:num>
  <w:num w:numId="27">
    <w:abstractNumId w:val="17"/>
  </w:num>
  <w:num w:numId="28">
    <w:abstractNumId w:val="37"/>
  </w:num>
  <w:num w:numId="29">
    <w:abstractNumId w:val="26"/>
  </w:num>
  <w:num w:numId="30">
    <w:abstractNumId w:val="24"/>
  </w:num>
  <w:num w:numId="31">
    <w:abstractNumId w:val="25"/>
  </w:num>
  <w:num w:numId="32">
    <w:abstractNumId w:val="21"/>
  </w:num>
  <w:num w:numId="33">
    <w:abstractNumId w:val="32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6"/>
  </w:num>
  <w:num w:numId="38">
    <w:abstractNumId w:val="38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731E1"/>
    <w:rsid w:val="00076E5B"/>
    <w:rsid w:val="0008059F"/>
    <w:rsid w:val="000809BA"/>
    <w:rsid w:val="00092739"/>
    <w:rsid w:val="000975BE"/>
    <w:rsid w:val="000A20D5"/>
    <w:rsid w:val="000A3DBD"/>
    <w:rsid w:val="000A582C"/>
    <w:rsid w:val="000A74AB"/>
    <w:rsid w:val="000D140B"/>
    <w:rsid w:val="000D22E0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170E4"/>
    <w:rsid w:val="0014099F"/>
    <w:rsid w:val="00152E1B"/>
    <w:rsid w:val="0015394C"/>
    <w:rsid w:val="001712DF"/>
    <w:rsid w:val="00184E9F"/>
    <w:rsid w:val="00185BFE"/>
    <w:rsid w:val="001969C6"/>
    <w:rsid w:val="001A02B9"/>
    <w:rsid w:val="001A46C0"/>
    <w:rsid w:val="001B135C"/>
    <w:rsid w:val="001B51C7"/>
    <w:rsid w:val="001B60EC"/>
    <w:rsid w:val="001C3DFD"/>
    <w:rsid w:val="001F3469"/>
    <w:rsid w:val="001F7E5D"/>
    <w:rsid w:val="002112CF"/>
    <w:rsid w:val="00216FD1"/>
    <w:rsid w:val="00246867"/>
    <w:rsid w:val="002541C5"/>
    <w:rsid w:val="00262AD2"/>
    <w:rsid w:val="0026696F"/>
    <w:rsid w:val="002764BD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583C"/>
    <w:rsid w:val="0036166A"/>
    <w:rsid w:val="003625AA"/>
    <w:rsid w:val="003641A6"/>
    <w:rsid w:val="00392B5B"/>
    <w:rsid w:val="003A7D39"/>
    <w:rsid w:val="003B31D8"/>
    <w:rsid w:val="003B60F3"/>
    <w:rsid w:val="003C4207"/>
    <w:rsid w:val="003C5EB7"/>
    <w:rsid w:val="003D3F72"/>
    <w:rsid w:val="003E11F1"/>
    <w:rsid w:val="00403F81"/>
    <w:rsid w:val="00405126"/>
    <w:rsid w:val="00424AAE"/>
    <w:rsid w:val="00431E5F"/>
    <w:rsid w:val="00433F80"/>
    <w:rsid w:val="00453BF0"/>
    <w:rsid w:val="00460F05"/>
    <w:rsid w:val="00461B51"/>
    <w:rsid w:val="004662DF"/>
    <w:rsid w:val="00471C66"/>
    <w:rsid w:val="00486B15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3187C"/>
    <w:rsid w:val="00546CFE"/>
    <w:rsid w:val="00562C94"/>
    <w:rsid w:val="00574ECF"/>
    <w:rsid w:val="0058325C"/>
    <w:rsid w:val="0058731F"/>
    <w:rsid w:val="005942E1"/>
    <w:rsid w:val="005B188C"/>
    <w:rsid w:val="005B4DEE"/>
    <w:rsid w:val="005B6E36"/>
    <w:rsid w:val="005D7F21"/>
    <w:rsid w:val="005E70FD"/>
    <w:rsid w:val="005F3340"/>
    <w:rsid w:val="00606521"/>
    <w:rsid w:val="00620C8C"/>
    <w:rsid w:val="00640658"/>
    <w:rsid w:val="006439E9"/>
    <w:rsid w:val="00651A90"/>
    <w:rsid w:val="006557BF"/>
    <w:rsid w:val="00663EB5"/>
    <w:rsid w:val="0066427A"/>
    <w:rsid w:val="00685E93"/>
    <w:rsid w:val="00694722"/>
    <w:rsid w:val="006B0C41"/>
    <w:rsid w:val="006B2C00"/>
    <w:rsid w:val="006C0C3C"/>
    <w:rsid w:val="006C5000"/>
    <w:rsid w:val="006C5BE6"/>
    <w:rsid w:val="006D2108"/>
    <w:rsid w:val="006D6734"/>
    <w:rsid w:val="006E6BE0"/>
    <w:rsid w:val="006F2A6D"/>
    <w:rsid w:val="006F3CDF"/>
    <w:rsid w:val="007067C0"/>
    <w:rsid w:val="00710EFD"/>
    <w:rsid w:val="0072183A"/>
    <w:rsid w:val="007379DE"/>
    <w:rsid w:val="007447AC"/>
    <w:rsid w:val="0074550B"/>
    <w:rsid w:val="00747D93"/>
    <w:rsid w:val="00750FDC"/>
    <w:rsid w:val="007549EA"/>
    <w:rsid w:val="00770038"/>
    <w:rsid w:val="00774441"/>
    <w:rsid w:val="00782DF6"/>
    <w:rsid w:val="00787EDE"/>
    <w:rsid w:val="007A4920"/>
    <w:rsid w:val="007A56C2"/>
    <w:rsid w:val="007A757A"/>
    <w:rsid w:val="007B1B75"/>
    <w:rsid w:val="0080020D"/>
    <w:rsid w:val="00800AD8"/>
    <w:rsid w:val="00820932"/>
    <w:rsid w:val="008233F8"/>
    <w:rsid w:val="00834670"/>
    <w:rsid w:val="008443CC"/>
    <w:rsid w:val="00872344"/>
    <w:rsid w:val="00877C0A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E4BA4"/>
    <w:rsid w:val="009157A2"/>
    <w:rsid w:val="0092202A"/>
    <w:rsid w:val="00934A9E"/>
    <w:rsid w:val="009368F5"/>
    <w:rsid w:val="00937282"/>
    <w:rsid w:val="00941496"/>
    <w:rsid w:val="009477F5"/>
    <w:rsid w:val="00953B12"/>
    <w:rsid w:val="0096444C"/>
    <w:rsid w:val="0097640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61FF"/>
    <w:rsid w:val="00A62278"/>
    <w:rsid w:val="00A73422"/>
    <w:rsid w:val="00A762FE"/>
    <w:rsid w:val="00A80B0A"/>
    <w:rsid w:val="00A83630"/>
    <w:rsid w:val="00A93034"/>
    <w:rsid w:val="00A9751A"/>
    <w:rsid w:val="00AA72B4"/>
    <w:rsid w:val="00AB5AB6"/>
    <w:rsid w:val="00AD171E"/>
    <w:rsid w:val="00AE5FC7"/>
    <w:rsid w:val="00B05CE4"/>
    <w:rsid w:val="00B1432A"/>
    <w:rsid w:val="00B2265C"/>
    <w:rsid w:val="00B44D15"/>
    <w:rsid w:val="00B632E3"/>
    <w:rsid w:val="00B8504B"/>
    <w:rsid w:val="00BA4216"/>
    <w:rsid w:val="00BB6E0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2445"/>
    <w:rsid w:val="00C959CA"/>
    <w:rsid w:val="00CA1D9E"/>
    <w:rsid w:val="00CB7341"/>
    <w:rsid w:val="00CB7D50"/>
    <w:rsid w:val="00CC2468"/>
    <w:rsid w:val="00CC557E"/>
    <w:rsid w:val="00CC6440"/>
    <w:rsid w:val="00CF69B5"/>
    <w:rsid w:val="00D00E7F"/>
    <w:rsid w:val="00D10053"/>
    <w:rsid w:val="00D26D17"/>
    <w:rsid w:val="00D347C5"/>
    <w:rsid w:val="00D34CF7"/>
    <w:rsid w:val="00D64434"/>
    <w:rsid w:val="00D73212"/>
    <w:rsid w:val="00D81F01"/>
    <w:rsid w:val="00D84D50"/>
    <w:rsid w:val="00D93296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A061B"/>
    <w:rsid w:val="00EA2410"/>
    <w:rsid w:val="00EA5B39"/>
    <w:rsid w:val="00EB13D1"/>
    <w:rsid w:val="00EC77FA"/>
    <w:rsid w:val="00ED0CD4"/>
    <w:rsid w:val="00ED123E"/>
    <w:rsid w:val="00ED579C"/>
    <w:rsid w:val="00EF4AA5"/>
    <w:rsid w:val="00EF5C86"/>
    <w:rsid w:val="00F00F24"/>
    <w:rsid w:val="00F01329"/>
    <w:rsid w:val="00F0194F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99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6">
    <w:basedOn w:val="a"/>
    <w:next w:val="a8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8F73-078B-4CCF-95D2-8CA54514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2022-08-08T14:43:00Z</cp:lastPrinted>
  <dcterms:created xsi:type="dcterms:W3CDTF">2022-08-09T07:13:00Z</dcterms:created>
  <dcterms:modified xsi:type="dcterms:W3CDTF">2022-08-09T07:13:00Z</dcterms:modified>
</cp:coreProperties>
</file>