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FB" w:rsidRDefault="00D760FB" w:rsidP="00D760FB">
      <w:pPr>
        <w:ind w:firstLine="708"/>
        <w:jc w:val="both"/>
        <w:rPr>
          <w:rStyle w:val="a3"/>
          <w:sz w:val="28"/>
          <w:szCs w:val="28"/>
          <w:lang w:val="uk-UA"/>
        </w:rPr>
      </w:pPr>
    </w:p>
    <w:p w:rsidR="00D760FB" w:rsidRPr="004D15E2" w:rsidRDefault="00D760FB" w:rsidP="00D760FB">
      <w:pPr>
        <w:ind w:firstLine="708"/>
        <w:jc w:val="center"/>
        <w:rPr>
          <w:rStyle w:val="a3"/>
          <w:sz w:val="28"/>
          <w:szCs w:val="28"/>
          <w:lang w:val="uk-UA"/>
        </w:rPr>
      </w:pPr>
      <w:r w:rsidRPr="004D15E2">
        <w:rPr>
          <w:rStyle w:val="a3"/>
          <w:sz w:val="28"/>
          <w:szCs w:val="28"/>
          <w:lang w:val="uk-UA"/>
        </w:rPr>
        <w:t>ЗАХИСТ ВИКРИВАЧІВ</w:t>
      </w:r>
    </w:p>
    <w:p w:rsidR="00D760FB" w:rsidRPr="004D15E2" w:rsidRDefault="00D760FB" w:rsidP="00D760FB">
      <w:pPr>
        <w:ind w:firstLine="708"/>
        <w:jc w:val="both"/>
        <w:rPr>
          <w:rStyle w:val="a3"/>
          <w:sz w:val="28"/>
          <w:szCs w:val="28"/>
          <w:lang w:val="uk-UA"/>
        </w:rPr>
      </w:pPr>
    </w:p>
    <w:p w:rsidR="00D760FB" w:rsidRDefault="00D760FB" w:rsidP="00D760FB">
      <w:pPr>
        <w:ind w:firstLine="708"/>
        <w:jc w:val="center"/>
        <w:rPr>
          <w:rStyle w:val="a3"/>
          <w:b w:val="0"/>
          <w:sz w:val="28"/>
          <w:szCs w:val="28"/>
          <w:lang w:val="uk-UA"/>
        </w:rPr>
      </w:pPr>
      <w:r w:rsidRPr="004D15E2">
        <w:rPr>
          <w:rStyle w:val="a3"/>
          <w:b w:val="0"/>
          <w:sz w:val="28"/>
          <w:szCs w:val="28"/>
          <w:lang w:val="uk-UA"/>
        </w:rPr>
        <w:t>Стаття 53</w:t>
      </w:r>
      <w:r>
        <w:rPr>
          <w:rStyle w:val="a3"/>
          <w:b w:val="0"/>
          <w:sz w:val="28"/>
          <w:szCs w:val="28"/>
          <w:lang w:val="uk-UA"/>
        </w:rPr>
        <w:t xml:space="preserve"> Закону України «Про запобігання корупції»</w:t>
      </w:r>
      <w:r w:rsidRPr="004D15E2">
        <w:rPr>
          <w:rStyle w:val="a3"/>
          <w:b w:val="0"/>
          <w:sz w:val="28"/>
          <w:szCs w:val="28"/>
          <w:lang w:val="uk-UA"/>
        </w:rPr>
        <w:t xml:space="preserve"> </w:t>
      </w:r>
    </w:p>
    <w:p w:rsidR="00D760FB" w:rsidRPr="004D15E2" w:rsidRDefault="00D760FB" w:rsidP="00D760FB">
      <w:pPr>
        <w:ind w:firstLine="708"/>
        <w:jc w:val="center"/>
        <w:rPr>
          <w:rStyle w:val="a3"/>
          <w:b w:val="0"/>
          <w:sz w:val="28"/>
          <w:szCs w:val="28"/>
          <w:lang w:val="uk-UA"/>
        </w:rPr>
      </w:pPr>
      <w:r w:rsidRPr="004D15E2">
        <w:rPr>
          <w:rStyle w:val="a3"/>
          <w:b w:val="0"/>
          <w:sz w:val="28"/>
          <w:szCs w:val="28"/>
          <w:lang w:val="uk-UA"/>
        </w:rPr>
        <w:t>Державний захист осіб, які надають допомогу в запобіганні і протидії корупції</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1. Особа, яка надає допомогу в запобіганні і протидії корупції (викривач), - особа, яка за наявності обґрунтованого переконання, що інформація є достовірною, повідомляє про порушення вимог цього Закону іншою особою.</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2. Особи, які надають допомогу в запобіганні і протидії корупції, перебувають під захистом держави. За наявності загрози життю, житлу, здоров’ю та майну осіб, які надають допомогу в запобіганні і протидії корупції, або їх близьких осіб, у зв’язку із здійсненим повідомленням про порушення вимог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 Законом України "Про забезпечення безпеки осіб, які беруть участь у кримінальному судочинстві".</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3. Особа або член її сім’ї не може бути звільнена чи примушена до звільнення, притягнута до дисциплінарної відповідальності чи піддана з боку керівника або роботодавця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нею про порушення вимог цього Закону іншою особою.</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Інформація про викривача може бути розголошена лише за його згодою, крім випадків, встановлених законом.</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 xml:space="preserve">4. Національне агентство, а також інші державні органи, органи влади Автономної Республіки Крим, органи місцевого самоврядування забезпечують умови для повідомлень їх працівниками про порушення вимог цього Закону іншою особою, зокрема через спеціальні телефонні лінії, офіційні </w:t>
      </w:r>
      <w:proofErr w:type="spellStart"/>
      <w:r w:rsidRPr="004D15E2">
        <w:rPr>
          <w:rStyle w:val="a3"/>
          <w:b w:val="0"/>
          <w:sz w:val="28"/>
          <w:szCs w:val="28"/>
          <w:lang w:val="uk-UA"/>
        </w:rPr>
        <w:t>веб-сайти</w:t>
      </w:r>
      <w:proofErr w:type="spellEnd"/>
      <w:r w:rsidRPr="004D15E2">
        <w:rPr>
          <w:rStyle w:val="a3"/>
          <w:b w:val="0"/>
          <w:sz w:val="28"/>
          <w:szCs w:val="28"/>
          <w:lang w:val="uk-UA"/>
        </w:rPr>
        <w:t>, засоби електронного зв’язку.</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5. Повідомлення про порушення вимог цього Закону може бути здійснене працівником відповідного органу без зазначення авторства (анонімно).</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Вимоги до анонімних повідомлень про порушення вимог цього Закону та порядок їх розгляду визначаються цим Законом.</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lastRenderedPageBreak/>
        <w:t>Анонімне повідомлення про порушення вимог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Анонімне повідомлення про порушення вимог цього Закону підлягає перевірці у термін не більше п’ятнадцяти днів від дня його отримання. Якщо у вказаний термін перевірити інформацію, що міститься в повідомленні, неможливо, керівник відповідного органу або його заступник продовжують термін розгляду повідомлення до тридцяти днів від дня його отримання.</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У разі підтвердження викладеної у повідомленні інформації про порушення вимог цього Закону керівник відповідного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6. Національне агентство здійснює постійний моніторинг виконання закону у сфері захисту викривачів, проводить щорічний аналіз та перегляд державної політики у цій сфері.</w:t>
      </w:r>
    </w:p>
    <w:p w:rsidR="00D760FB" w:rsidRPr="004D15E2" w:rsidRDefault="00D760FB" w:rsidP="00D760FB">
      <w:pPr>
        <w:ind w:firstLine="708"/>
        <w:jc w:val="both"/>
        <w:rPr>
          <w:rStyle w:val="a3"/>
          <w:b w:val="0"/>
          <w:sz w:val="28"/>
          <w:szCs w:val="28"/>
          <w:lang w:val="uk-UA"/>
        </w:rPr>
      </w:pPr>
    </w:p>
    <w:p w:rsidR="00D760FB" w:rsidRPr="004D15E2" w:rsidRDefault="00D760FB" w:rsidP="00D760FB">
      <w:pPr>
        <w:ind w:firstLine="708"/>
        <w:jc w:val="both"/>
        <w:rPr>
          <w:rStyle w:val="a3"/>
          <w:b w:val="0"/>
          <w:sz w:val="28"/>
          <w:szCs w:val="28"/>
          <w:lang w:val="uk-UA"/>
        </w:rPr>
      </w:pPr>
      <w:r w:rsidRPr="004D15E2">
        <w:rPr>
          <w:rStyle w:val="a3"/>
          <w:b w:val="0"/>
          <w:sz w:val="28"/>
          <w:szCs w:val="28"/>
          <w:lang w:val="uk-UA"/>
        </w:rPr>
        <w:t>7. Посадові і службові особи державних органів, органів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інформації про вчинення такого правопорушення працівниками відповідних державних органів, органів влади Автономної Республіки Крим, органів місцевого самоврядування, юридичних осіб публічного права, їх структурних підрозділів зобов’язані у межах своїх повноважень ужити заходів щодо припинення такого правопорушення та негайно письмово повідомити про його вчинення спеціально уповноважений суб’єкт у сфері протидії корупції.</w:t>
      </w:r>
    </w:p>
    <w:p w:rsidR="00D760FB" w:rsidRDefault="00D760FB" w:rsidP="00D760FB">
      <w:pPr>
        <w:ind w:firstLine="708"/>
        <w:jc w:val="both"/>
        <w:rPr>
          <w:rStyle w:val="a3"/>
          <w:sz w:val="28"/>
          <w:szCs w:val="28"/>
          <w:lang w:val="uk-UA"/>
        </w:rPr>
      </w:pPr>
    </w:p>
    <w:p w:rsidR="00D760FB" w:rsidRDefault="00D760FB" w:rsidP="00D760FB">
      <w:pPr>
        <w:ind w:firstLine="708"/>
        <w:jc w:val="both"/>
        <w:rPr>
          <w:lang w:val="uk-UA"/>
        </w:rPr>
      </w:pPr>
      <w:r>
        <w:rPr>
          <w:rStyle w:val="a3"/>
          <w:sz w:val="28"/>
          <w:szCs w:val="28"/>
          <w:lang w:val="uk-UA"/>
        </w:rPr>
        <w:t xml:space="preserve">Карпенко Ірина Вікторівна – </w:t>
      </w:r>
      <w:r>
        <w:rPr>
          <w:color w:val="000000"/>
          <w:sz w:val="28"/>
          <w:szCs w:val="28"/>
          <w:lang w:val="uk-UA"/>
        </w:rPr>
        <w:t xml:space="preserve">контактний телефон: 284-08-00, електрона адреса: </w:t>
      </w:r>
      <w:hyperlink r:id="rId4" w:history="1">
        <w:r w:rsidRPr="0030297D">
          <w:rPr>
            <w:rStyle w:val="a4"/>
            <w:sz w:val="28"/>
            <w:szCs w:val="28"/>
            <w:lang w:val="en-US"/>
          </w:rPr>
          <w:t>slav</w:t>
        </w:r>
        <w:r w:rsidRPr="0030297D">
          <w:rPr>
            <w:rStyle w:val="a4"/>
            <w:sz w:val="28"/>
            <w:szCs w:val="28"/>
            <w:lang w:val="uk-UA"/>
          </w:rPr>
          <w:t>а6727</w:t>
        </w:r>
        <w:r w:rsidRPr="0030297D">
          <w:rPr>
            <w:rStyle w:val="a4"/>
            <w:sz w:val="28"/>
            <w:szCs w:val="28"/>
          </w:rPr>
          <w:t>@</w:t>
        </w:r>
        <w:r w:rsidRPr="0030297D">
          <w:rPr>
            <w:rStyle w:val="a4"/>
            <w:sz w:val="28"/>
            <w:szCs w:val="28"/>
            <w:lang w:val="en-US"/>
          </w:rPr>
          <w:t>ukr</w:t>
        </w:r>
        <w:r w:rsidRPr="0030297D">
          <w:rPr>
            <w:rStyle w:val="a4"/>
            <w:sz w:val="28"/>
            <w:szCs w:val="28"/>
          </w:rPr>
          <w:t>.</w:t>
        </w:r>
        <w:r w:rsidRPr="0030297D">
          <w:rPr>
            <w:rStyle w:val="a4"/>
            <w:sz w:val="28"/>
            <w:szCs w:val="28"/>
            <w:lang w:val="en-US"/>
          </w:rPr>
          <w:t>net</w:t>
        </w:r>
      </w:hyperlink>
      <w:r w:rsidRPr="00BC0FF7">
        <w:rPr>
          <w:color w:val="000000"/>
          <w:sz w:val="28"/>
          <w:szCs w:val="28"/>
        </w:rPr>
        <w:t>.</w:t>
      </w:r>
    </w:p>
    <w:p w:rsidR="00D760FB" w:rsidRPr="000321EA" w:rsidRDefault="00D760FB" w:rsidP="00D760FB">
      <w:pPr>
        <w:rPr>
          <w:lang w:val="uk-UA"/>
        </w:rPr>
      </w:pPr>
    </w:p>
    <w:p w:rsidR="00084044" w:rsidRPr="00D760FB" w:rsidRDefault="00084044">
      <w:pPr>
        <w:rPr>
          <w:lang w:val="uk-UA"/>
        </w:rPr>
      </w:pPr>
    </w:p>
    <w:sectPr w:rsidR="00084044" w:rsidRPr="00D760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D760FB"/>
    <w:rsid w:val="00084044"/>
    <w:rsid w:val="00D76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F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D760FB"/>
    <w:rPr>
      <w:b/>
      <w:bCs/>
    </w:rPr>
  </w:style>
  <w:style w:type="character" w:styleId="a4">
    <w:name w:val="Hyperlink"/>
    <w:basedOn w:val="a0"/>
    <w:rsid w:val="00D760F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lav&#1072;6727@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Company>RePack by SPecialiST</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litvin</dc:creator>
  <cp:lastModifiedBy>litvin</cp:lastModifiedBy>
  <cp:revision>1</cp:revision>
  <dcterms:created xsi:type="dcterms:W3CDTF">2017-08-02T08:55:00Z</dcterms:created>
  <dcterms:modified xsi:type="dcterms:W3CDTF">2017-08-02T08:56:00Z</dcterms:modified>
</cp:coreProperties>
</file>